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DC5B" w14:textId="71CAD29A" w:rsidR="00C532AB" w:rsidRPr="00AF402F" w:rsidRDefault="00F10D9C" w:rsidP="00F10D9C">
      <w:pPr>
        <w:pStyle w:val="Heading1"/>
      </w:pPr>
      <w:r w:rsidRPr="00F10D9C">
        <w:t>Standard Operating Procedure (SOP)</w:t>
      </w:r>
    </w:p>
    <w:p w14:paraId="48D4AFB4" w14:textId="77777777" w:rsidR="00F10D9C" w:rsidRPr="00F10D9C" w:rsidRDefault="00F10D9C" w:rsidP="00F10D9C">
      <w:pPr>
        <w:spacing w:before="0" w:after="200" w:line="276" w:lineRule="auto"/>
        <w:rPr>
          <w:rFonts w:eastAsia="Calibri" w:cs="Arial"/>
          <w:szCs w:val="22"/>
          <w:lang w:eastAsia="en-US"/>
        </w:rPr>
      </w:pPr>
      <w:r w:rsidRPr="00F10D9C">
        <w:rPr>
          <w:rFonts w:eastAsia="Calibri" w:cs="Arial"/>
          <w:szCs w:val="22"/>
          <w:lang w:eastAsia="en-US"/>
        </w:rPr>
        <w:t xml:space="preserve">Date: </w:t>
      </w:r>
      <w:r w:rsidRPr="00F10D9C">
        <w:rPr>
          <w:rFonts w:eastAsia="Calibri" w:cs="Arial"/>
          <w:szCs w:val="22"/>
          <w:lang w:eastAsia="en-US"/>
        </w:rPr>
        <w:tab/>
      </w:r>
      <w:r w:rsidRPr="00F10D9C">
        <w:rPr>
          <w:rFonts w:eastAsia="Calibri" w:cs="Arial"/>
          <w:szCs w:val="22"/>
          <w:lang w:eastAsia="en-US"/>
        </w:rPr>
        <w:tab/>
      </w:r>
      <w:r w:rsidRPr="00F10D9C">
        <w:rPr>
          <w:rFonts w:eastAsia="Calibri" w:cs="Arial"/>
          <w:szCs w:val="22"/>
          <w:lang w:eastAsia="en-US"/>
        </w:rPr>
        <w:tab/>
        <w:t>25</w:t>
      </w:r>
      <w:r w:rsidRPr="00F10D9C">
        <w:rPr>
          <w:rFonts w:eastAsia="Calibri" w:cs="Arial"/>
          <w:szCs w:val="22"/>
          <w:vertAlign w:val="superscript"/>
          <w:lang w:eastAsia="en-US"/>
        </w:rPr>
        <w:t>th</w:t>
      </w:r>
      <w:r w:rsidRPr="00F10D9C">
        <w:rPr>
          <w:rFonts w:eastAsia="Calibri" w:cs="Arial"/>
          <w:szCs w:val="22"/>
          <w:lang w:eastAsia="en-US"/>
        </w:rPr>
        <w:t xml:space="preserve"> January 2021</w:t>
      </w:r>
    </w:p>
    <w:p w14:paraId="22657538" w14:textId="77777777" w:rsidR="00F10D9C" w:rsidRPr="00F10D9C" w:rsidRDefault="00F10D9C" w:rsidP="00F10D9C">
      <w:pPr>
        <w:spacing w:before="0" w:after="200" w:line="276" w:lineRule="auto"/>
        <w:ind w:left="2160" w:hanging="2160"/>
        <w:rPr>
          <w:rFonts w:eastAsia="Calibri" w:cs="Arial"/>
          <w:szCs w:val="22"/>
          <w:lang w:eastAsia="en-US"/>
        </w:rPr>
      </w:pPr>
      <w:r w:rsidRPr="00F10D9C">
        <w:rPr>
          <w:rFonts w:eastAsia="Calibri" w:cs="Arial"/>
          <w:szCs w:val="22"/>
          <w:lang w:eastAsia="en-US"/>
        </w:rPr>
        <w:t xml:space="preserve">SOP title: </w:t>
      </w:r>
      <w:r w:rsidRPr="00F10D9C">
        <w:rPr>
          <w:rFonts w:eastAsia="Calibri" w:cs="Arial"/>
          <w:szCs w:val="22"/>
          <w:lang w:eastAsia="en-US"/>
        </w:rPr>
        <w:tab/>
        <w:t xml:space="preserve">Lynch Syndrome early diagnosis pathway: guidance for the colorectal cancer MDTs within the RM partners cancer alliance </w:t>
      </w:r>
    </w:p>
    <w:p w14:paraId="294E9D3E" w14:textId="77777777" w:rsidR="00F10D9C" w:rsidRPr="00F10D9C" w:rsidRDefault="00F10D9C" w:rsidP="00F10D9C">
      <w:pPr>
        <w:spacing w:before="0" w:after="200" w:line="276" w:lineRule="auto"/>
        <w:ind w:left="2160" w:hanging="2160"/>
        <w:rPr>
          <w:rFonts w:eastAsia="Calibri" w:cs="Arial"/>
          <w:szCs w:val="22"/>
          <w:lang w:eastAsia="en-US"/>
        </w:rPr>
      </w:pPr>
      <w:r w:rsidRPr="00F10D9C">
        <w:rPr>
          <w:rFonts w:eastAsia="Calibri" w:cs="Arial"/>
          <w:szCs w:val="22"/>
          <w:lang w:eastAsia="en-US"/>
        </w:rPr>
        <w:t>Project lead:</w:t>
      </w:r>
      <w:r w:rsidRPr="00F10D9C">
        <w:rPr>
          <w:rFonts w:eastAsia="Calibri" w:cs="Arial"/>
          <w:szCs w:val="22"/>
          <w:lang w:eastAsia="en-US"/>
        </w:rPr>
        <w:tab/>
        <w:t>Dr Kevin Monahan, Consultant Gastroenterologist, St Mark's Hospital Lynch Syndrome &amp; Family Cancer Clinic</w:t>
      </w:r>
    </w:p>
    <w:p w14:paraId="47F31A55" w14:textId="77777777" w:rsidR="00F10D9C" w:rsidRPr="00F10D9C" w:rsidRDefault="00F10D9C" w:rsidP="00F10D9C">
      <w:pPr>
        <w:spacing w:before="0" w:after="200" w:line="276" w:lineRule="auto"/>
        <w:ind w:left="1440" w:hanging="1440"/>
        <w:rPr>
          <w:rFonts w:eastAsia="Calibri" w:cs="Arial"/>
          <w:szCs w:val="22"/>
          <w:lang w:eastAsia="en-US"/>
        </w:rPr>
      </w:pPr>
      <w:r w:rsidRPr="00F10D9C">
        <w:rPr>
          <w:rFonts w:eastAsia="Calibri" w:cs="Arial"/>
          <w:szCs w:val="22"/>
          <w:lang w:eastAsia="en-US"/>
        </w:rPr>
        <w:t xml:space="preserve">Project manager: </w:t>
      </w:r>
      <w:r w:rsidRPr="00F10D9C">
        <w:rPr>
          <w:rFonts w:eastAsia="Calibri" w:cs="Arial"/>
          <w:szCs w:val="22"/>
          <w:lang w:eastAsia="en-US"/>
        </w:rPr>
        <w:tab/>
        <w:t>Timothy Bill, Programme lead, RM Partners</w:t>
      </w:r>
    </w:p>
    <w:p w14:paraId="5445FB4E" w14:textId="77777777" w:rsidR="00F10D9C" w:rsidRPr="00F10D9C" w:rsidRDefault="00F10D9C" w:rsidP="00F10D9C">
      <w:pPr>
        <w:spacing w:before="0" w:after="200" w:line="276" w:lineRule="auto"/>
        <w:ind w:left="2160" w:hanging="2160"/>
        <w:rPr>
          <w:rFonts w:eastAsia="Calibri" w:cs="Arial"/>
          <w:szCs w:val="22"/>
          <w:lang w:eastAsia="en-US"/>
        </w:rPr>
      </w:pPr>
      <w:r w:rsidRPr="00F10D9C">
        <w:rPr>
          <w:rFonts w:eastAsia="Calibri" w:cs="Arial"/>
          <w:szCs w:val="22"/>
          <w:lang w:eastAsia="en-US"/>
        </w:rPr>
        <w:t xml:space="preserve">Author: </w:t>
      </w:r>
      <w:r w:rsidRPr="00F10D9C">
        <w:rPr>
          <w:rFonts w:eastAsia="Calibri" w:cs="Arial"/>
          <w:szCs w:val="22"/>
          <w:lang w:eastAsia="en-US"/>
        </w:rPr>
        <w:tab/>
        <w:t xml:space="preserve">Laura </w:t>
      </w:r>
      <w:proofErr w:type="spellStart"/>
      <w:r w:rsidRPr="00F10D9C">
        <w:rPr>
          <w:rFonts w:eastAsia="Calibri" w:cs="Arial"/>
          <w:szCs w:val="22"/>
          <w:lang w:eastAsia="en-US"/>
        </w:rPr>
        <w:t>Monje-Garcia</w:t>
      </w:r>
      <w:proofErr w:type="spellEnd"/>
      <w:r w:rsidRPr="00F10D9C">
        <w:rPr>
          <w:rFonts w:eastAsia="Calibri" w:cs="Arial"/>
          <w:szCs w:val="22"/>
          <w:lang w:eastAsia="en-US"/>
        </w:rPr>
        <w:t>, Nurse Practitioner, St Mark’s Hospital Centre for Familial Intestinal Cancer</w:t>
      </w:r>
    </w:p>
    <w:p w14:paraId="1BC6C3AB" w14:textId="77777777" w:rsidR="00F10D9C" w:rsidRPr="00F10D9C" w:rsidRDefault="00F10D9C" w:rsidP="00F10D9C">
      <w:pPr>
        <w:spacing w:before="0" w:after="200" w:line="276" w:lineRule="auto"/>
        <w:ind w:left="1440" w:hanging="1440"/>
        <w:rPr>
          <w:rFonts w:ascii="Calibri" w:eastAsia="Calibri" w:hAnsi="Calibri"/>
          <w:szCs w:val="22"/>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17"/>
        <w:gridCol w:w="5202"/>
        <w:gridCol w:w="1824"/>
      </w:tblGrid>
      <w:tr w:rsidR="00067FAF" w:rsidRPr="00F10D9C" w14:paraId="65D50691" w14:textId="77777777" w:rsidTr="00067FAF">
        <w:trPr>
          <w:jc w:val="center"/>
        </w:trPr>
        <w:tc>
          <w:tcPr>
            <w:tcW w:w="938" w:type="dxa"/>
            <w:shd w:val="clear" w:color="auto" w:fill="009999" w:themeFill="text2"/>
          </w:tcPr>
          <w:p w14:paraId="334D32EA"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Version</w:t>
            </w:r>
          </w:p>
        </w:tc>
        <w:tc>
          <w:tcPr>
            <w:tcW w:w="1134" w:type="dxa"/>
            <w:shd w:val="clear" w:color="auto" w:fill="009999" w:themeFill="text2"/>
          </w:tcPr>
          <w:p w14:paraId="33A712E6"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Date</w:t>
            </w:r>
          </w:p>
        </w:tc>
        <w:tc>
          <w:tcPr>
            <w:tcW w:w="5269" w:type="dxa"/>
            <w:shd w:val="clear" w:color="auto" w:fill="009999" w:themeFill="text2"/>
          </w:tcPr>
          <w:p w14:paraId="2B8CDDDE"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Updates Made</w:t>
            </w:r>
          </w:p>
        </w:tc>
        <w:tc>
          <w:tcPr>
            <w:tcW w:w="1839" w:type="dxa"/>
            <w:shd w:val="clear" w:color="auto" w:fill="009999" w:themeFill="text2"/>
          </w:tcPr>
          <w:p w14:paraId="56285F18"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Updated by</w:t>
            </w:r>
          </w:p>
        </w:tc>
      </w:tr>
      <w:tr w:rsidR="00F10D9C" w:rsidRPr="00F10D9C" w14:paraId="70B7A227" w14:textId="77777777" w:rsidTr="00067FAF">
        <w:trPr>
          <w:jc w:val="center"/>
        </w:trPr>
        <w:tc>
          <w:tcPr>
            <w:tcW w:w="938" w:type="dxa"/>
            <w:shd w:val="clear" w:color="auto" w:fill="auto"/>
          </w:tcPr>
          <w:p w14:paraId="3869C344"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w:t>
            </w:r>
          </w:p>
        </w:tc>
        <w:tc>
          <w:tcPr>
            <w:tcW w:w="1134" w:type="dxa"/>
            <w:shd w:val="clear" w:color="auto" w:fill="auto"/>
          </w:tcPr>
          <w:p w14:paraId="4C74D255"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30.11.2020</w:t>
            </w:r>
          </w:p>
        </w:tc>
        <w:tc>
          <w:tcPr>
            <w:tcW w:w="5269" w:type="dxa"/>
            <w:shd w:val="clear" w:color="auto" w:fill="auto"/>
          </w:tcPr>
          <w:p w14:paraId="38B5DD6C"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created</w:t>
            </w:r>
          </w:p>
        </w:tc>
        <w:tc>
          <w:tcPr>
            <w:tcW w:w="1839" w:type="dxa"/>
            <w:shd w:val="clear" w:color="auto" w:fill="auto"/>
          </w:tcPr>
          <w:p w14:paraId="33FC4A35"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p>
        </w:tc>
      </w:tr>
      <w:tr w:rsidR="00F10D9C" w:rsidRPr="00F10D9C" w14:paraId="0E82ABF6" w14:textId="77777777" w:rsidTr="00067FAF">
        <w:trPr>
          <w:jc w:val="center"/>
        </w:trPr>
        <w:tc>
          <w:tcPr>
            <w:tcW w:w="938" w:type="dxa"/>
            <w:shd w:val="clear" w:color="auto" w:fill="auto"/>
          </w:tcPr>
          <w:p w14:paraId="4FD49646"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V-1.1</w:t>
            </w:r>
          </w:p>
        </w:tc>
        <w:tc>
          <w:tcPr>
            <w:tcW w:w="1134" w:type="dxa"/>
            <w:shd w:val="clear" w:color="auto" w:fill="auto"/>
          </w:tcPr>
          <w:p w14:paraId="2995C8AF"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01.12.2020</w:t>
            </w:r>
          </w:p>
        </w:tc>
        <w:tc>
          <w:tcPr>
            <w:tcW w:w="5269" w:type="dxa"/>
            <w:shd w:val="clear" w:color="auto" w:fill="auto"/>
          </w:tcPr>
          <w:p w14:paraId="72409F76"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amended to add 62 day from diagnosis to referral target</w:t>
            </w:r>
          </w:p>
        </w:tc>
        <w:tc>
          <w:tcPr>
            <w:tcW w:w="1839" w:type="dxa"/>
            <w:shd w:val="clear" w:color="auto" w:fill="auto"/>
          </w:tcPr>
          <w:p w14:paraId="3432736B"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 KM</w:t>
            </w:r>
          </w:p>
        </w:tc>
      </w:tr>
      <w:tr w:rsidR="00F10D9C" w:rsidRPr="00F10D9C" w14:paraId="4CA491C4" w14:textId="77777777" w:rsidTr="00067FAF">
        <w:trPr>
          <w:jc w:val="center"/>
        </w:trPr>
        <w:tc>
          <w:tcPr>
            <w:tcW w:w="938" w:type="dxa"/>
            <w:shd w:val="clear" w:color="auto" w:fill="auto"/>
          </w:tcPr>
          <w:p w14:paraId="460BB8E9"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V-1.3</w:t>
            </w:r>
          </w:p>
        </w:tc>
        <w:tc>
          <w:tcPr>
            <w:tcW w:w="1134" w:type="dxa"/>
            <w:shd w:val="clear" w:color="auto" w:fill="auto"/>
          </w:tcPr>
          <w:p w14:paraId="4AC1937E"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25.01.2021</w:t>
            </w:r>
          </w:p>
        </w:tc>
        <w:tc>
          <w:tcPr>
            <w:tcW w:w="5269" w:type="dxa"/>
            <w:shd w:val="clear" w:color="auto" w:fill="auto"/>
          </w:tcPr>
          <w:p w14:paraId="7F44223C"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amended: Timeline table added</w:t>
            </w:r>
          </w:p>
        </w:tc>
        <w:tc>
          <w:tcPr>
            <w:tcW w:w="1839" w:type="dxa"/>
            <w:shd w:val="clear" w:color="auto" w:fill="auto"/>
          </w:tcPr>
          <w:p w14:paraId="73E2535A"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p>
        </w:tc>
      </w:tr>
      <w:tr w:rsidR="00F10D9C" w:rsidRPr="00F10D9C" w14:paraId="1C6E30F2" w14:textId="77777777" w:rsidTr="00067FAF">
        <w:trPr>
          <w:jc w:val="center"/>
        </w:trPr>
        <w:tc>
          <w:tcPr>
            <w:tcW w:w="938" w:type="dxa"/>
            <w:shd w:val="clear" w:color="auto" w:fill="auto"/>
          </w:tcPr>
          <w:p w14:paraId="6078DF99"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V-1.4</w:t>
            </w:r>
          </w:p>
        </w:tc>
        <w:tc>
          <w:tcPr>
            <w:tcW w:w="1134" w:type="dxa"/>
            <w:shd w:val="clear" w:color="auto" w:fill="auto"/>
          </w:tcPr>
          <w:p w14:paraId="1826D0CB"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01.03.2021</w:t>
            </w:r>
          </w:p>
        </w:tc>
        <w:tc>
          <w:tcPr>
            <w:tcW w:w="5269" w:type="dxa"/>
            <w:shd w:val="clear" w:color="auto" w:fill="auto"/>
          </w:tcPr>
          <w:p w14:paraId="2424B7EA"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 xml:space="preserve">SOP amended: AB &amp; ZK suggestions added </w:t>
            </w:r>
          </w:p>
        </w:tc>
        <w:tc>
          <w:tcPr>
            <w:tcW w:w="1839" w:type="dxa"/>
            <w:shd w:val="clear" w:color="auto" w:fill="auto"/>
          </w:tcPr>
          <w:p w14:paraId="2FB06061" w14:textId="105808C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r w:rsidR="00795882">
              <w:rPr>
                <w:rFonts w:cs="Arial"/>
                <w:b/>
                <w:bCs/>
                <w:sz w:val="20"/>
                <w:szCs w:val="20"/>
                <w:lang w:eastAsia="en-US"/>
              </w:rPr>
              <w:t>, KM</w:t>
            </w:r>
          </w:p>
        </w:tc>
      </w:tr>
      <w:tr w:rsidR="00795882" w:rsidRPr="00F10D9C" w14:paraId="5E935A69" w14:textId="77777777" w:rsidTr="00067FAF">
        <w:trPr>
          <w:jc w:val="center"/>
        </w:trPr>
        <w:tc>
          <w:tcPr>
            <w:tcW w:w="938" w:type="dxa"/>
            <w:shd w:val="clear" w:color="auto" w:fill="auto"/>
          </w:tcPr>
          <w:p w14:paraId="1C0B6B8F" w14:textId="56005253" w:rsidR="00795882" w:rsidRPr="00F10D9C" w:rsidRDefault="00795882" w:rsidP="00F10D9C">
            <w:pPr>
              <w:spacing w:before="0" w:after="0"/>
              <w:rPr>
                <w:rFonts w:cs="Arial"/>
                <w:i/>
                <w:iCs/>
                <w:sz w:val="20"/>
                <w:szCs w:val="20"/>
                <w:lang w:eastAsia="en-US"/>
              </w:rPr>
            </w:pPr>
            <w:r>
              <w:rPr>
                <w:rFonts w:cs="Arial"/>
                <w:i/>
                <w:iCs/>
                <w:sz w:val="20"/>
                <w:szCs w:val="20"/>
                <w:lang w:eastAsia="en-US"/>
              </w:rPr>
              <w:t>V1.5</w:t>
            </w:r>
          </w:p>
        </w:tc>
        <w:tc>
          <w:tcPr>
            <w:tcW w:w="1134" w:type="dxa"/>
            <w:shd w:val="clear" w:color="auto" w:fill="auto"/>
          </w:tcPr>
          <w:p w14:paraId="7D2A0810" w14:textId="656319D5" w:rsidR="00795882" w:rsidRPr="00F10D9C" w:rsidRDefault="00795882" w:rsidP="00F10D9C">
            <w:pPr>
              <w:spacing w:before="0" w:after="0"/>
              <w:rPr>
                <w:rFonts w:cs="Arial"/>
                <w:b/>
                <w:bCs/>
                <w:sz w:val="20"/>
                <w:szCs w:val="20"/>
                <w:lang w:eastAsia="en-US"/>
              </w:rPr>
            </w:pPr>
            <w:r>
              <w:rPr>
                <w:rFonts w:cs="Arial"/>
                <w:b/>
                <w:bCs/>
                <w:sz w:val="20"/>
                <w:szCs w:val="20"/>
                <w:lang w:eastAsia="en-US"/>
              </w:rPr>
              <w:t>15.03.2021</w:t>
            </w:r>
          </w:p>
        </w:tc>
        <w:tc>
          <w:tcPr>
            <w:tcW w:w="5269" w:type="dxa"/>
            <w:shd w:val="clear" w:color="auto" w:fill="auto"/>
          </w:tcPr>
          <w:p w14:paraId="50845A14" w14:textId="1C557F61" w:rsidR="00795882" w:rsidRPr="00F10D9C" w:rsidRDefault="00795882" w:rsidP="00F10D9C">
            <w:pPr>
              <w:spacing w:before="0" w:after="0"/>
              <w:rPr>
                <w:rFonts w:cs="Arial"/>
                <w:b/>
                <w:bCs/>
                <w:sz w:val="20"/>
                <w:szCs w:val="20"/>
                <w:lang w:eastAsia="en-US"/>
              </w:rPr>
            </w:pPr>
            <w:r>
              <w:rPr>
                <w:rFonts w:cs="Arial"/>
                <w:b/>
                <w:bCs/>
                <w:sz w:val="20"/>
                <w:szCs w:val="20"/>
                <w:lang w:eastAsia="en-US"/>
              </w:rPr>
              <w:t>SOP sing off by RMP &amp; Pathway group</w:t>
            </w:r>
          </w:p>
        </w:tc>
        <w:tc>
          <w:tcPr>
            <w:tcW w:w="1839" w:type="dxa"/>
            <w:shd w:val="clear" w:color="auto" w:fill="auto"/>
          </w:tcPr>
          <w:p w14:paraId="00808C4F" w14:textId="170471D9" w:rsidR="00795882" w:rsidRPr="00F10D9C" w:rsidRDefault="00795882" w:rsidP="00F10D9C">
            <w:pPr>
              <w:spacing w:before="0" w:after="0"/>
              <w:rPr>
                <w:rFonts w:cs="Arial"/>
                <w:b/>
                <w:bCs/>
                <w:sz w:val="20"/>
                <w:szCs w:val="20"/>
                <w:lang w:eastAsia="en-US"/>
              </w:rPr>
            </w:pPr>
            <w:r>
              <w:rPr>
                <w:rFonts w:cs="Arial"/>
                <w:b/>
                <w:bCs/>
                <w:sz w:val="20"/>
                <w:szCs w:val="20"/>
                <w:lang w:eastAsia="en-US"/>
              </w:rPr>
              <w:t>KM</w:t>
            </w:r>
          </w:p>
        </w:tc>
      </w:tr>
    </w:tbl>
    <w:p w14:paraId="4A58873C"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4148E209"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241459EC"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3BCA86BB" w14:textId="77777777" w:rsidR="00F10D9C" w:rsidRPr="00F10D9C" w:rsidRDefault="00F10D9C" w:rsidP="00F10D9C">
      <w:pPr>
        <w:spacing w:before="0" w:after="200" w:line="276" w:lineRule="auto"/>
        <w:ind w:left="1440" w:hanging="1440"/>
        <w:rPr>
          <w:rFonts w:ascii="Calibri" w:eastAsia="Calibri" w:hAnsi="Calibri"/>
          <w:szCs w:val="22"/>
          <w:lang w:eastAsia="en-US"/>
        </w:rPr>
      </w:pPr>
      <w:bookmarkStart w:id="0" w:name="_GoBack"/>
      <w:bookmarkEnd w:id="0"/>
    </w:p>
    <w:p w14:paraId="639F7F29"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78DE2FD1"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7EDD62A7"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0E1E9915"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46E36A35"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1D6E5A35"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2D876CC3"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3F642F96"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1B0DDDB5" w14:textId="6C6EF4DD" w:rsidR="00120666" w:rsidRDefault="00120666" w:rsidP="00120666">
      <w:pPr>
        <w:spacing w:before="0" w:after="200" w:line="276" w:lineRule="auto"/>
        <w:ind w:left="709" w:hanging="709"/>
        <w:rPr>
          <w:rFonts w:eastAsia="Calibri" w:cs="Arial"/>
          <w:szCs w:val="22"/>
          <w:lang w:eastAsia="en-US"/>
        </w:rPr>
      </w:pPr>
      <w:r w:rsidRPr="00120666">
        <w:rPr>
          <w:rFonts w:eastAsia="Calibri" w:cs="Arial"/>
          <w:sz w:val="28"/>
          <w:szCs w:val="22"/>
          <w:lang w:eastAsia="en-US"/>
        </w:rPr>
        <w:lastRenderedPageBreak/>
        <w:t>Objective</w:t>
      </w:r>
      <w:r w:rsidR="00F10D9C" w:rsidRPr="00F10D9C">
        <w:rPr>
          <w:rFonts w:eastAsia="Calibri" w:cs="Arial"/>
          <w:szCs w:val="22"/>
          <w:lang w:eastAsia="en-US"/>
        </w:rPr>
        <w:tab/>
      </w:r>
    </w:p>
    <w:p w14:paraId="033BA9E0" w14:textId="4F5CB37E" w:rsidR="00F10D9C" w:rsidRDefault="00F10D9C" w:rsidP="00120666">
      <w:pPr>
        <w:spacing w:before="0" w:after="200" w:line="276" w:lineRule="auto"/>
        <w:rPr>
          <w:rFonts w:eastAsia="Calibri" w:cs="Arial"/>
          <w:szCs w:val="22"/>
          <w:lang w:eastAsia="en-US"/>
        </w:rPr>
      </w:pPr>
      <w:r w:rsidRPr="00F10D9C">
        <w:rPr>
          <w:rFonts w:eastAsia="Calibri" w:cs="Arial"/>
          <w:szCs w:val="22"/>
          <w:lang w:eastAsia="en-US"/>
        </w:rPr>
        <w:t>This SOP relates to delivery of the early diagnostic pathway, from di</w:t>
      </w:r>
      <w:r w:rsidR="00120666">
        <w:rPr>
          <w:rFonts w:eastAsia="Calibri" w:cs="Arial"/>
          <w:szCs w:val="22"/>
          <w:lang w:eastAsia="en-US"/>
        </w:rPr>
        <w:t xml:space="preserve">agnosis of colorectal cancer to </w:t>
      </w:r>
      <w:r w:rsidRPr="00F10D9C">
        <w:rPr>
          <w:rFonts w:eastAsia="Calibri" w:cs="Arial"/>
          <w:szCs w:val="22"/>
          <w:lang w:eastAsia="en-US"/>
        </w:rPr>
        <w:t xml:space="preserve">diagnosis of Lynch Syndrome. The guidance is for colorectal cancer MDTs within the RM Partners cancer alliance. It outlines the diagnostic pathway, and individual MDTs responsibilities. </w:t>
      </w:r>
    </w:p>
    <w:p w14:paraId="06D9AC58" w14:textId="77777777" w:rsidR="00120666" w:rsidRPr="00F10D9C" w:rsidRDefault="00120666" w:rsidP="00120666">
      <w:pPr>
        <w:spacing w:before="0" w:after="200" w:line="276" w:lineRule="auto"/>
        <w:rPr>
          <w:rFonts w:eastAsia="Calibri" w:cs="Arial"/>
          <w:szCs w:val="22"/>
          <w:lang w:eastAsia="en-US"/>
        </w:rPr>
      </w:pPr>
    </w:p>
    <w:p w14:paraId="07434FC5" w14:textId="77777777" w:rsidR="00F10D9C" w:rsidRPr="00F10D9C" w:rsidRDefault="00F10D9C" w:rsidP="00F10D9C">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t>Team Members</w:t>
      </w:r>
    </w:p>
    <w:p w14:paraId="3C57DABC" w14:textId="77777777" w:rsidR="00F10D9C" w:rsidRPr="00F10D9C" w:rsidRDefault="00F10D9C" w:rsidP="00F10D9C">
      <w:pPr>
        <w:numPr>
          <w:ilvl w:val="0"/>
          <w:numId w:val="25"/>
        </w:numPr>
        <w:spacing w:before="0" w:after="200" w:line="276" w:lineRule="auto"/>
        <w:ind w:left="709" w:hanging="425"/>
        <w:contextualSpacing/>
        <w:rPr>
          <w:rFonts w:eastAsia="Calibri" w:cs="Arial"/>
          <w:szCs w:val="22"/>
          <w:lang w:eastAsia="en-US"/>
        </w:rPr>
      </w:pPr>
      <w:r w:rsidRPr="00F10D9C">
        <w:rPr>
          <w:rFonts w:eastAsia="Calibri" w:cs="Arial"/>
          <w:szCs w:val="22"/>
          <w:lang w:eastAsia="en-US"/>
        </w:rPr>
        <w:t>CRC MDT pathway partners (governance through RM Partners, our regional cancer alliance pathway group:</w:t>
      </w:r>
    </w:p>
    <w:p w14:paraId="116F318C"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 xml:space="preserve">St Mark’s Hospital, London North West University NHS Trust </w:t>
      </w:r>
    </w:p>
    <w:p w14:paraId="71CC73C4"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Chelsea &amp; Westminster Hospital NHS Foundation Trust</w:t>
      </w:r>
    </w:p>
    <w:p w14:paraId="4B8210FA"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 xml:space="preserve">Imperial College Healthcare NHS Trust </w:t>
      </w:r>
    </w:p>
    <w:p w14:paraId="57D21A84"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Hillingdon Hospitals NHS Foundation Trust</w:t>
      </w:r>
    </w:p>
    <w:p w14:paraId="32500FAC"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St George’s University Hospitals NHS Foundation Trust</w:t>
      </w:r>
    </w:p>
    <w:p w14:paraId="44760B88"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Kingston Hospital NHS Foundation Trust</w:t>
      </w:r>
    </w:p>
    <w:p w14:paraId="7FA53645"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Croydon Health Services NHS Trust</w:t>
      </w:r>
    </w:p>
    <w:p w14:paraId="001FFB6B"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Epsom &amp; St Helier University Hospitals NHS Trust</w:t>
      </w:r>
    </w:p>
    <w:p w14:paraId="65FCDF35" w14:textId="77777777" w:rsidR="00F10D9C" w:rsidRPr="00F10D9C" w:rsidRDefault="00F10D9C" w:rsidP="00F10D9C">
      <w:pPr>
        <w:numPr>
          <w:ilvl w:val="0"/>
          <w:numId w:val="25"/>
        </w:numPr>
        <w:spacing w:before="0" w:after="200" w:line="276" w:lineRule="auto"/>
        <w:ind w:left="709" w:hanging="425"/>
        <w:contextualSpacing/>
        <w:rPr>
          <w:rFonts w:eastAsia="Calibri" w:cs="Arial"/>
          <w:szCs w:val="22"/>
          <w:lang w:eastAsia="en-US"/>
        </w:rPr>
      </w:pPr>
      <w:r w:rsidRPr="00F10D9C">
        <w:rPr>
          <w:rFonts w:eastAsia="Calibri" w:cs="Arial"/>
          <w:szCs w:val="22"/>
          <w:lang w:eastAsia="en-US"/>
        </w:rPr>
        <w:t>Regional Expert Centres:</w:t>
      </w:r>
    </w:p>
    <w:p w14:paraId="310BDBF5"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St Mark's Hospital Lynch Syndrome &amp; Family Cancer Clinic</w:t>
      </w:r>
    </w:p>
    <w:p w14:paraId="2F0216DA"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Northwick Park Hospital clinical genetics department (North West Thames)</w:t>
      </w:r>
    </w:p>
    <w:p w14:paraId="7E3382A8"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St George’s Hospital clinical genetics department (South West Thames)</w:t>
      </w:r>
    </w:p>
    <w:p w14:paraId="3D5B0290" w14:textId="5A202ED7" w:rsidR="00F10D9C" w:rsidRDefault="00F10D9C" w:rsidP="00120666">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The Royal Marsden Hospital Cancer Genetics Unit</w:t>
      </w:r>
    </w:p>
    <w:p w14:paraId="1FB1E638" w14:textId="77777777" w:rsidR="00120666" w:rsidRDefault="00120666" w:rsidP="00120666">
      <w:pPr>
        <w:spacing w:before="0" w:after="200" w:line="276" w:lineRule="auto"/>
        <w:ind w:left="1418"/>
        <w:contextualSpacing/>
        <w:rPr>
          <w:rFonts w:eastAsia="Calibri" w:cs="Arial"/>
          <w:szCs w:val="22"/>
          <w:lang w:eastAsia="en-US"/>
        </w:rPr>
      </w:pPr>
    </w:p>
    <w:p w14:paraId="67B54FB5" w14:textId="77777777" w:rsidR="00120666" w:rsidRPr="00F10D9C" w:rsidRDefault="00120666" w:rsidP="00120666">
      <w:pPr>
        <w:spacing w:before="0" w:after="200" w:line="276" w:lineRule="auto"/>
        <w:ind w:left="1418"/>
        <w:contextualSpacing/>
        <w:rPr>
          <w:rFonts w:eastAsia="Calibri" w:cs="Arial"/>
          <w:szCs w:val="22"/>
          <w:lang w:eastAsia="en-US"/>
        </w:rPr>
      </w:pPr>
    </w:p>
    <w:p w14:paraId="677E21A1" w14:textId="10234B10" w:rsidR="00F10D9C" w:rsidRPr="00F10D9C" w:rsidRDefault="00F10D9C" w:rsidP="00F10D9C">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t>General Principles</w:t>
      </w:r>
    </w:p>
    <w:p w14:paraId="6CDD1D17"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 xml:space="preserve">All newly diagnosed CRC patients who are identified as likely to have Lynch Syndrome should be referred for genetic testing (either locally or specialised genetics centre) within </w:t>
      </w:r>
      <w:r w:rsidRPr="00F10D9C">
        <w:rPr>
          <w:rFonts w:eastAsia="Calibri" w:cs="Arial"/>
          <w:b/>
          <w:szCs w:val="22"/>
          <w:u w:val="single"/>
          <w:lang w:eastAsia="en-US"/>
        </w:rPr>
        <w:t>62 days</w:t>
      </w:r>
      <w:r w:rsidRPr="00F10D9C">
        <w:rPr>
          <w:rFonts w:eastAsia="Calibri" w:cs="Arial"/>
          <w:szCs w:val="22"/>
          <w:lang w:eastAsia="en-US"/>
        </w:rPr>
        <w:t xml:space="preserve"> of CRC diagnosis.</w:t>
      </w:r>
    </w:p>
    <w:p w14:paraId="79B1E201"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CRC MDT should identify a responsible local lead for the Lynch diagnostic pathway (a ‘Lynch champion’), who may identify specific tasks for others within the MDT.</w:t>
      </w:r>
    </w:p>
    <w:p w14:paraId="38383ADF"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CRC MDT is responsible for the delivery of the pathway locally. To deliver this pathway each CRC MDT should work with regional genetics expert centres.</w:t>
      </w:r>
    </w:p>
    <w:p w14:paraId="60375640"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 xml:space="preserve">Genetic testing should be performed by clinical genetics centres, or ‘mainstreamed’ by trained clinicians (CRC MDT clinician designated by the national testing directory). </w:t>
      </w:r>
    </w:p>
    <w:p w14:paraId="24BCC624" w14:textId="77777777" w:rsid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MDT should choose to offer either genetic testing via ‘mainstreaming’ or referring patients to their linked genetics centre.  Thus local CRC MDTs should aim to achieve either</w:t>
      </w:r>
    </w:p>
    <w:p w14:paraId="4FE4BE64" w14:textId="77777777" w:rsidR="00F10D9C" w:rsidRPr="00F10D9C" w:rsidRDefault="00F10D9C" w:rsidP="00F10D9C">
      <w:pPr>
        <w:numPr>
          <w:ilvl w:val="1"/>
          <w:numId w:val="27"/>
        </w:numPr>
        <w:spacing w:before="0" w:after="200" w:line="276" w:lineRule="auto"/>
        <w:ind w:left="851"/>
        <w:contextualSpacing/>
        <w:rPr>
          <w:rFonts w:eastAsia="Calibri" w:cs="Arial"/>
          <w:b/>
          <w:szCs w:val="22"/>
          <w:lang w:eastAsia="en-US"/>
        </w:rPr>
      </w:pPr>
      <w:r w:rsidRPr="00F10D9C">
        <w:rPr>
          <w:rFonts w:eastAsia="Calibri" w:cs="Arial"/>
          <w:szCs w:val="22"/>
          <w:lang w:eastAsia="en-US"/>
        </w:rPr>
        <w:t xml:space="preserve">Timely referral of patients for genetic testing only </w:t>
      </w:r>
      <w:r w:rsidRPr="00F10D9C">
        <w:rPr>
          <w:rFonts w:eastAsia="Calibri" w:cs="Arial"/>
          <w:szCs w:val="22"/>
          <w:u w:val="single"/>
          <w:lang w:eastAsia="en-US"/>
        </w:rPr>
        <w:t>after</w:t>
      </w:r>
      <w:r w:rsidRPr="00F10D9C">
        <w:rPr>
          <w:rFonts w:eastAsia="Calibri" w:cs="Arial"/>
          <w:szCs w:val="22"/>
          <w:lang w:eastAsia="en-US"/>
        </w:rPr>
        <w:t xml:space="preserve"> completion of IHC +/- methylation testing, </w:t>
      </w:r>
      <w:r w:rsidRPr="00120666">
        <w:rPr>
          <w:rFonts w:eastAsia="Calibri" w:cs="Arial"/>
          <w:b/>
          <w:szCs w:val="22"/>
          <w:lang w:eastAsia="en-US"/>
        </w:rPr>
        <w:t>or</w:t>
      </w:r>
    </w:p>
    <w:p w14:paraId="74AD31B8" w14:textId="1568E22A" w:rsidR="00F10D9C" w:rsidRPr="00F10D9C" w:rsidRDefault="00F10D9C" w:rsidP="00F10D9C">
      <w:pPr>
        <w:numPr>
          <w:ilvl w:val="1"/>
          <w:numId w:val="27"/>
        </w:numPr>
        <w:spacing w:before="0" w:after="200" w:line="276" w:lineRule="auto"/>
        <w:ind w:left="851"/>
        <w:contextualSpacing/>
        <w:rPr>
          <w:rFonts w:eastAsia="Calibri" w:cs="Arial"/>
          <w:b/>
          <w:szCs w:val="22"/>
          <w:lang w:eastAsia="en-US"/>
        </w:rPr>
      </w:pPr>
      <w:r w:rsidRPr="00F10D9C">
        <w:rPr>
          <w:rFonts w:eastAsia="Calibri" w:cs="Arial"/>
          <w:szCs w:val="22"/>
          <w:lang w:eastAsia="en-US"/>
        </w:rPr>
        <w:t>Mainstreaming of genetic testing ‘in-house’</w:t>
      </w:r>
    </w:p>
    <w:p w14:paraId="33595D93" w14:textId="77777777" w:rsidR="00F10D9C" w:rsidRPr="00F10D9C" w:rsidRDefault="00F10D9C" w:rsidP="00F10D9C">
      <w:pPr>
        <w:spacing w:before="0" w:after="200" w:line="276" w:lineRule="auto"/>
        <w:ind w:left="426"/>
        <w:contextualSpacing/>
        <w:rPr>
          <w:rFonts w:eastAsia="Calibri" w:cs="Arial"/>
          <w:szCs w:val="22"/>
          <w:lang w:eastAsia="en-US"/>
        </w:rPr>
      </w:pPr>
    </w:p>
    <w:p w14:paraId="24FECA58" w14:textId="77777777" w:rsidR="00120666" w:rsidRDefault="00120666">
      <w:pPr>
        <w:spacing w:before="0" w:after="0"/>
        <w:rPr>
          <w:rFonts w:ascii="Calibri" w:eastAsia="Calibri" w:hAnsi="Calibri"/>
          <w:szCs w:val="22"/>
          <w:lang w:eastAsia="en-US"/>
        </w:rPr>
      </w:pPr>
      <w:r>
        <w:rPr>
          <w:rFonts w:ascii="Calibri" w:eastAsia="Calibri" w:hAnsi="Calibri"/>
          <w:szCs w:val="22"/>
          <w:lang w:eastAsia="en-US"/>
        </w:rPr>
        <w:br w:type="page"/>
      </w:r>
    </w:p>
    <w:p w14:paraId="554D69B9" w14:textId="31BFC53F" w:rsidR="00F10D9C" w:rsidRPr="00F10D9C" w:rsidRDefault="00F10D9C" w:rsidP="00120666">
      <w:pPr>
        <w:spacing w:before="0" w:after="200" w:line="276" w:lineRule="auto"/>
        <w:rPr>
          <w:rFonts w:eastAsia="Calibri" w:cs="Arial"/>
          <w:b/>
          <w:szCs w:val="22"/>
          <w:lang w:eastAsia="en-US"/>
        </w:rPr>
      </w:pPr>
      <w:r w:rsidRPr="00F10D9C">
        <w:rPr>
          <w:rFonts w:eastAsia="Calibri" w:cs="Arial"/>
          <w:b/>
          <w:szCs w:val="22"/>
          <w:lang w:eastAsia="en-US"/>
        </w:rPr>
        <w:lastRenderedPageBreak/>
        <w:t>The SOP has been mapped to the:</w:t>
      </w:r>
    </w:p>
    <w:p w14:paraId="15DDBEF1" w14:textId="77777777" w:rsidR="00F10D9C" w:rsidRPr="00F10D9C" w:rsidRDefault="00F10D9C" w:rsidP="00120666">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NICE DG27 guideline (DG27 Molecular testing strategies for Lynch syndrome in people with colorectal cancer, 2017)</w:t>
      </w:r>
    </w:p>
    <w:p w14:paraId="76F2EA21" w14:textId="77777777" w:rsidR="00F10D9C" w:rsidRPr="00F10D9C" w:rsidRDefault="00F10D9C" w:rsidP="00120666">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The NHS England handbook for cancer alliances (2020)</w:t>
      </w:r>
    </w:p>
    <w:p w14:paraId="600CF83C" w14:textId="77777777" w:rsidR="00F10D9C" w:rsidRPr="00F10D9C" w:rsidRDefault="00F10D9C" w:rsidP="00120666">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The National Genomic Testing Directory</w:t>
      </w:r>
    </w:p>
    <w:p w14:paraId="6C9C0690" w14:textId="77777777" w:rsidR="00F10D9C" w:rsidRDefault="00F10D9C" w:rsidP="00F10D9C">
      <w:pPr>
        <w:spacing w:before="0" w:after="200" w:line="276" w:lineRule="auto"/>
        <w:ind w:left="-66"/>
        <w:contextualSpacing/>
        <w:rPr>
          <w:rFonts w:ascii="Calibri" w:eastAsia="Calibri" w:hAnsi="Calibri"/>
          <w:szCs w:val="22"/>
          <w:lang w:eastAsia="en-US"/>
        </w:rPr>
      </w:pPr>
    </w:p>
    <w:p w14:paraId="2C14471E" w14:textId="77777777" w:rsidR="00120666" w:rsidRPr="00F10D9C" w:rsidRDefault="00120666" w:rsidP="00F10D9C">
      <w:pPr>
        <w:spacing w:before="0" w:after="200" w:line="276" w:lineRule="auto"/>
        <w:ind w:left="-66"/>
        <w:contextualSpacing/>
        <w:rPr>
          <w:rFonts w:ascii="Calibri" w:eastAsia="Calibri" w:hAnsi="Calibri"/>
          <w:szCs w:val="22"/>
          <w:lang w:eastAsia="en-US"/>
        </w:rPr>
      </w:pPr>
    </w:p>
    <w:p w14:paraId="38B4AA50" w14:textId="71415084" w:rsidR="00F10D9C" w:rsidRPr="00F10D9C" w:rsidRDefault="00120666" w:rsidP="00120666">
      <w:pPr>
        <w:spacing w:before="0" w:after="200" w:line="276" w:lineRule="auto"/>
        <w:ind w:left="709" w:hanging="709"/>
        <w:rPr>
          <w:rFonts w:ascii="Calibri" w:eastAsia="Calibri" w:hAnsi="Calibri"/>
          <w:b/>
          <w:szCs w:val="22"/>
          <w:lang w:eastAsia="en-US"/>
        </w:rPr>
      </w:pPr>
      <w:r w:rsidRPr="00F10D9C">
        <w:rPr>
          <w:rFonts w:eastAsia="Calibri" w:cs="Arial"/>
          <w:noProof/>
          <w:sz w:val="28"/>
          <w:szCs w:val="22"/>
        </w:rPr>
        <w:drawing>
          <wp:anchor distT="0" distB="0" distL="114300" distR="114300" simplePos="0" relativeHeight="251654144" behindDoc="1" locked="0" layoutInCell="1" allowOverlap="1" wp14:anchorId="16D9B920" wp14:editId="6D8A14C7">
            <wp:simplePos x="0" y="0"/>
            <wp:positionH relativeFrom="column">
              <wp:posOffset>3510975</wp:posOffset>
            </wp:positionH>
            <wp:positionV relativeFrom="paragraph">
              <wp:posOffset>292471</wp:posOffset>
            </wp:positionV>
            <wp:extent cx="3239770" cy="2924175"/>
            <wp:effectExtent l="0" t="0" r="0" b="9525"/>
            <wp:wrapThrough wrapText="bothSides">
              <wp:wrapPolygon edited="0">
                <wp:start x="0" y="0"/>
                <wp:lineTo x="0" y="2251"/>
                <wp:lineTo x="10415" y="2251"/>
                <wp:lineTo x="0" y="3236"/>
                <wp:lineTo x="0" y="8302"/>
                <wp:lineTo x="10288" y="9006"/>
                <wp:lineTo x="0" y="9428"/>
                <wp:lineTo x="0" y="21530"/>
                <wp:lineTo x="21338" y="21530"/>
                <wp:lineTo x="21465" y="21248"/>
                <wp:lineTo x="21465" y="9428"/>
                <wp:lineTo x="11304" y="9006"/>
                <wp:lineTo x="21465" y="8302"/>
                <wp:lineTo x="21465" y="3236"/>
                <wp:lineTo x="11050" y="2251"/>
                <wp:lineTo x="21465" y="2251"/>
                <wp:lineTo x="214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2924175"/>
                    </a:xfrm>
                    <a:prstGeom prst="rect">
                      <a:avLst/>
                    </a:prstGeom>
                    <a:noFill/>
                  </pic:spPr>
                </pic:pic>
              </a:graphicData>
            </a:graphic>
            <wp14:sizeRelH relativeFrom="page">
              <wp14:pctWidth>0</wp14:pctWidth>
            </wp14:sizeRelH>
            <wp14:sizeRelV relativeFrom="page">
              <wp14:pctHeight>0</wp14:pctHeight>
            </wp14:sizeRelV>
          </wp:anchor>
        </w:drawing>
      </w:r>
      <w:r w:rsidRPr="00F10D9C">
        <w:rPr>
          <w:rFonts w:eastAsia="Calibri" w:cs="Arial"/>
          <w:noProof/>
          <w:sz w:val="28"/>
          <w:szCs w:val="22"/>
        </w:rPr>
        <w:drawing>
          <wp:anchor distT="0" distB="0" distL="114300" distR="114300" simplePos="0" relativeHeight="251661312" behindDoc="1" locked="0" layoutInCell="1" allowOverlap="1" wp14:anchorId="429E6F26" wp14:editId="71BABFBA">
            <wp:simplePos x="0" y="0"/>
            <wp:positionH relativeFrom="column">
              <wp:posOffset>-18894</wp:posOffset>
            </wp:positionH>
            <wp:positionV relativeFrom="paragraph">
              <wp:posOffset>289560</wp:posOffset>
            </wp:positionV>
            <wp:extent cx="3144520" cy="3642360"/>
            <wp:effectExtent l="0" t="0" r="0" b="0"/>
            <wp:wrapThrough wrapText="bothSides">
              <wp:wrapPolygon edited="0">
                <wp:start x="0" y="0"/>
                <wp:lineTo x="0" y="1695"/>
                <wp:lineTo x="10338" y="1808"/>
                <wp:lineTo x="0" y="2598"/>
                <wp:lineTo x="0" y="4745"/>
                <wp:lineTo x="1832" y="5423"/>
                <wp:lineTo x="0" y="5649"/>
                <wp:lineTo x="0" y="9038"/>
                <wp:lineTo x="1963" y="9038"/>
                <wp:lineTo x="1963" y="18075"/>
                <wp:lineTo x="0" y="19544"/>
                <wp:lineTo x="0" y="21464"/>
                <wp:lineTo x="21460" y="21464"/>
                <wp:lineTo x="21460" y="19318"/>
                <wp:lineTo x="10730" y="18075"/>
                <wp:lineTo x="10730" y="16268"/>
                <wp:lineTo x="21460" y="16268"/>
                <wp:lineTo x="21460" y="8925"/>
                <wp:lineTo x="17535" y="7230"/>
                <wp:lineTo x="17535" y="5423"/>
                <wp:lineTo x="21460" y="4858"/>
                <wp:lineTo x="21460" y="2598"/>
                <wp:lineTo x="11123" y="1808"/>
                <wp:lineTo x="21460" y="1695"/>
                <wp:lineTo x="214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520" cy="3642360"/>
                    </a:xfrm>
                    <a:prstGeom prst="rect">
                      <a:avLst/>
                    </a:prstGeom>
                    <a:noFill/>
                  </pic:spPr>
                </pic:pic>
              </a:graphicData>
            </a:graphic>
            <wp14:sizeRelH relativeFrom="page">
              <wp14:pctWidth>0</wp14:pctWidth>
            </wp14:sizeRelH>
            <wp14:sizeRelV relativeFrom="page">
              <wp14:pctHeight>0</wp14:pctHeight>
            </wp14:sizeRelV>
          </wp:anchor>
        </w:drawing>
      </w:r>
      <w:r w:rsidR="00F10D9C" w:rsidRPr="00F10D9C">
        <w:rPr>
          <w:rFonts w:eastAsia="Calibri" w:cs="Arial"/>
          <w:sz w:val="28"/>
          <w:szCs w:val="22"/>
          <w:lang w:eastAsia="en-US"/>
        </w:rPr>
        <w:t>Flowcharts</w:t>
      </w:r>
    </w:p>
    <w:p w14:paraId="05F69D67" w14:textId="3CD238CF" w:rsidR="00F10D9C" w:rsidRPr="00F10D9C" w:rsidRDefault="00F10D9C" w:rsidP="00F10D9C">
      <w:pPr>
        <w:spacing w:before="0" w:after="200" w:line="276" w:lineRule="auto"/>
        <w:rPr>
          <w:rFonts w:ascii="Calibri" w:eastAsia="Calibri" w:hAnsi="Calibri"/>
          <w:b/>
          <w:szCs w:val="22"/>
          <w:lang w:eastAsia="en-US"/>
        </w:rPr>
      </w:pPr>
    </w:p>
    <w:p w14:paraId="61011FD4" w14:textId="77777777" w:rsidR="00F10D9C" w:rsidRPr="00F10D9C" w:rsidRDefault="00F10D9C" w:rsidP="00F10D9C">
      <w:pPr>
        <w:spacing w:before="0" w:after="200" w:line="276" w:lineRule="auto"/>
        <w:rPr>
          <w:rFonts w:ascii="Calibri" w:eastAsia="Calibri" w:hAnsi="Calibri"/>
          <w:b/>
          <w:szCs w:val="22"/>
          <w:lang w:eastAsia="en-US"/>
        </w:rPr>
      </w:pPr>
    </w:p>
    <w:p w14:paraId="032EF6B0" w14:textId="77777777" w:rsidR="00F10D9C" w:rsidRPr="00F10D9C" w:rsidRDefault="00F10D9C" w:rsidP="00F10D9C">
      <w:pPr>
        <w:spacing w:before="0" w:after="200" w:line="276" w:lineRule="auto"/>
        <w:rPr>
          <w:rFonts w:ascii="Calibri" w:eastAsia="Calibri" w:hAnsi="Calibri"/>
          <w:b/>
          <w:szCs w:val="22"/>
          <w:lang w:eastAsia="en-US"/>
        </w:rPr>
      </w:pPr>
    </w:p>
    <w:p w14:paraId="3BBA7C47" w14:textId="77777777" w:rsidR="00F10D9C" w:rsidRPr="00F10D9C" w:rsidRDefault="00F10D9C" w:rsidP="00F10D9C">
      <w:pPr>
        <w:spacing w:before="0" w:after="200" w:line="276" w:lineRule="auto"/>
        <w:rPr>
          <w:rFonts w:ascii="Calibri" w:eastAsia="Calibri" w:hAnsi="Calibri"/>
          <w:b/>
          <w:szCs w:val="22"/>
          <w:lang w:eastAsia="en-US"/>
        </w:rPr>
      </w:pPr>
    </w:p>
    <w:p w14:paraId="7C3E8E6D" w14:textId="77777777" w:rsidR="00F10D9C" w:rsidRPr="00F10D9C" w:rsidRDefault="00F10D9C" w:rsidP="00F10D9C">
      <w:pPr>
        <w:spacing w:before="0" w:after="200" w:line="276" w:lineRule="auto"/>
        <w:rPr>
          <w:rFonts w:ascii="Calibri" w:eastAsia="Calibri" w:hAnsi="Calibri"/>
          <w:b/>
          <w:szCs w:val="22"/>
          <w:lang w:eastAsia="en-US"/>
        </w:rPr>
      </w:pPr>
    </w:p>
    <w:p w14:paraId="06EAEC41" w14:textId="77777777" w:rsidR="00F10D9C" w:rsidRPr="00F10D9C" w:rsidRDefault="00F10D9C" w:rsidP="00F10D9C">
      <w:pPr>
        <w:spacing w:before="0" w:after="200" w:line="276" w:lineRule="auto"/>
        <w:rPr>
          <w:rFonts w:ascii="Calibri" w:eastAsia="Calibri" w:hAnsi="Calibri"/>
          <w:b/>
          <w:szCs w:val="22"/>
          <w:lang w:eastAsia="en-US"/>
        </w:rPr>
      </w:pPr>
    </w:p>
    <w:p w14:paraId="654BF573" w14:textId="77777777" w:rsidR="00120666" w:rsidRDefault="00120666" w:rsidP="00F10D9C">
      <w:pPr>
        <w:spacing w:before="0" w:after="200" w:line="276" w:lineRule="auto"/>
        <w:contextualSpacing/>
        <w:rPr>
          <w:rFonts w:ascii="Calibri" w:eastAsia="Calibri" w:hAnsi="Calibri"/>
          <w:b/>
          <w:szCs w:val="22"/>
          <w:lang w:eastAsia="en-US"/>
        </w:rPr>
      </w:pPr>
    </w:p>
    <w:p w14:paraId="2E1430FE" w14:textId="77777777" w:rsidR="00120666" w:rsidRDefault="00120666" w:rsidP="00F10D9C">
      <w:pPr>
        <w:spacing w:before="0" w:after="200" w:line="276" w:lineRule="auto"/>
        <w:contextualSpacing/>
        <w:rPr>
          <w:rFonts w:ascii="Calibri" w:eastAsia="Calibri" w:hAnsi="Calibri"/>
          <w:b/>
          <w:szCs w:val="22"/>
          <w:lang w:eastAsia="en-US"/>
        </w:rPr>
      </w:pPr>
    </w:p>
    <w:p w14:paraId="57A84F8C" w14:textId="77777777" w:rsidR="00120666" w:rsidRDefault="00120666" w:rsidP="00F10D9C">
      <w:pPr>
        <w:spacing w:before="0" w:after="200" w:line="276" w:lineRule="auto"/>
        <w:contextualSpacing/>
        <w:rPr>
          <w:rFonts w:ascii="Calibri" w:eastAsia="Calibri" w:hAnsi="Calibri"/>
          <w:b/>
          <w:szCs w:val="22"/>
          <w:lang w:eastAsia="en-US"/>
        </w:rPr>
      </w:pPr>
    </w:p>
    <w:p w14:paraId="6F008E70" w14:textId="77777777" w:rsidR="00120666" w:rsidRDefault="00120666" w:rsidP="00F10D9C">
      <w:pPr>
        <w:spacing w:before="0" w:after="200" w:line="276" w:lineRule="auto"/>
        <w:contextualSpacing/>
        <w:rPr>
          <w:rFonts w:ascii="Calibri" w:eastAsia="Calibri" w:hAnsi="Calibri"/>
          <w:b/>
          <w:szCs w:val="22"/>
          <w:lang w:eastAsia="en-US"/>
        </w:rPr>
      </w:pPr>
    </w:p>
    <w:p w14:paraId="03656410" w14:textId="77777777" w:rsidR="00120666" w:rsidRDefault="00120666" w:rsidP="00F10D9C">
      <w:pPr>
        <w:spacing w:before="0" w:after="200" w:line="276" w:lineRule="auto"/>
        <w:contextualSpacing/>
        <w:rPr>
          <w:rFonts w:ascii="Calibri" w:eastAsia="Calibri" w:hAnsi="Calibri"/>
          <w:b/>
          <w:szCs w:val="22"/>
          <w:lang w:eastAsia="en-US"/>
        </w:rPr>
      </w:pPr>
    </w:p>
    <w:p w14:paraId="63BC7993" w14:textId="77777777" w:rsidR="00120666" w:rsidRDefault="00120666" w:rsidP="00F10D9C">
      <w:pPr>
        <w:spacing w:before="0" w:after="200" w:line="276" w:lineRule="auto"/>
        <w:contextualSpacing/>
        <w:rPr>
          <w:rFonts w:ascii="Calibri" w:eastAsia="Calibri" w:hAnsi="Calibri"/>
          <w:b/>
          <w:szCs w:val="22"/>
          <w:lang w:eastAsia="en-US"/>
        </w:rPr>
      </w:pPr>
    </w:p>
    <w:p w14:paraId="5090EC58" w14:textId="77777777" w:rsidR="00120666" w:rsidRDefault="00120666" w:rsidP="00F10D9C">
      <w:pPr>
        <w:spacing w:before="0" w:after="200" w:line="276" w:lineRule="auto"/>
        <w:contextualSpacing/>
        <w:rPr>
          <w:rFonts w:ascii="Calibri" w:eastAsia="Calibri" w:hAnsi="Calibri"/>
          <w:b/>
          <w:szCs w:val="22"/>
          <w:lang w:eastAsia="en-US"/>
        </w:rPr>
      </w:pPr>
    </w:p>
    <w:p w14:paraId="62C7D40B" w14:textId="77777777" w:rsidR="00120666" w:rsidRDefault="00120666" w:rsidP="00F10D9C">
      <w:pPr>
        <w:spacing w:before="0" w:after="200" w:line="276" w:lineRule="auto"/>
        <w:contextualSpacing/>
        <w:rPr>
          <w:rFonts w:ascii="Calibri" w:eastAsia="Calibri" w:hAnsi="Calibri"/>
          <w:b/>
          <w:szCs w:val="22"/>
          <w:lang w:eastAsia="en-US"/>
        </w:rPr>
      </w:pPr>
    </w:p>
    <w:p w14:paraId="271E8F4D" w14:textId="77777777" w:rsidR="00120666" w:rsidRDefault="00120666" w:rsidP="00F10D9C">
      <w:pPr>
        <w:spacing w:before="0" w:after="200" w:line="276" w:lineRule="auto"/>
        <w:contextualSpacing/>
        <w:rPr>
          <w:rFonts w:ascii="Calibri" w:eastAsia="Calibri" w:hAnsi="Calibri"/>
          <w:b/>
          <w:szCs w:val="22"/>
          <w:lang w:eastAsia="en-US"/>
        </w:rPr>
      </w:pPr>
    </w:p>
    <w:p w14:paraId="63EE6589" w14:textId="77777777" w:rsidR="00120666" w:rsidRDefault="00120666" w:rsidP="00F10D9C">
      <w:pPr>
        <w:spacing w:before="0" w:after="200" w:line="276" w:lineRule="auto"/>
        <w:contextualSpacing/>
        <w:rPr>
          <w:rFonts w:eastAsia="Calibri" w:cs="Arial"/>
          <w:b/>
          <w:szCs w:val="22"/>
          <w:lang w:eastAsia="en-US"/>
        </w:rPr>
      </w:pPr>
    </w:p>
    <w:p w14:paraId="7D762871" w14:textId="3156E73E" w:rsidR="00F10D9C" w:rsidRPr="00F10D9C" w:rsidRDefault="00F10D9C" w:rsidP="00F10D9C">
      <w:pPr>
        <w:spacing w:before="0" w:after="200" w:line="276" w:lineRule="auto"/>
        <w:contextualSpacing/>
        <w:rPr>
          <w:rFonts w:ascii="Calibri" w:eastAsia="Calibri" w:hAnsi="Calibri"/>
          <w:b/>
          <w:szCs w:val="22"/>
          <w:lang w:eastAsia="en-US"/>
        </w:rPr>
      </w:pPr>
      <w:r w:rsidRPr="00F10D9C">
        <w:rPr>
          <w:rFonts w:eastAsia="Calibri" w:cs="Arial"/>
          <w:b/>
          <w:szCs w:val="22"/>
          <w:lang w:eastAsia="en-US"/>
        </w:rPr>
        <w:t xml:space="preserve">Timeline: </w:t>
      </w:r>
      <w:r w:rsidRPr="00F10D9C">
        <w:rPr>
          <w:rFonts w:eastAsia="Calibri" w:cs="Arial"/>
          <w:b/>
          <w:szCs w:val="22"/>
          <w:u w:val="single"/>
          <w:lang w:eastAsia="en-US"/>
        </w:rPr>
        <w:t>62 days</w:t>
      </w:r>
      <w:r w:rsidRPr="00F10D9C">
        <w:rPr>
          <w:rFonts w:eastAsia="Calibri" w:cs="Arial"/>
          <w:b/>
          <w:szCs w:val="22"/>
          <w:lang w:eastAsia="en-US"/>
        </w:rPr>
        <w:t xml:space="preserve"> from diagnosis of CRC to referral</w:t>
      </w:r>
      <w:r w:rsidRPr="00F10D9C">
        <w:rPr>
          <w:rFonts w:eastAsia="Calibri" w:cs="Arial"/>
          <w:szCs w:val="22"/>
          <w:lang w:eastAsia="en-US"/>
        </w:rPr>
        <w:t xml:space="preserve"> (timeline explained in </w:t>
      </w:r>
      <w:r w:rsidR="00067FAF" w:rsidRPr="00067FAF">
        <w:rPr>
          <w:rFonts w:eastAsia="Calibri" w:cs="Arial"/>
          <w:i/>
          <w:szCs w:val="22"/>
          <w:lang w:eastAsia="en-US"/>
        </w:rPr>
        <w:t>A</w:t>
      </w:r>
      <w:r w:rsidRPr="00F10D9C">
        <w:rPr>
          <w:rFonts w:eastAsia="Calibri" w:cs="Arial"/>
          <w:i/>
          <w:szCs w:val="22"/>
          <w:lang w:eastAsia="en-US"/>
        </w:rPr>
        <w:t>ppendix 2</w:t>
      </w:r>
      <w:r w:rsidRPr="00F10D9C">
        <w:rPr>
          <w:rFonts w:eastAsia="Calibri" w:cs="Arial"/>
          <w:szCs w:val="22"/>
          <w:lang w:eastAsia="en-US"/>
        </w:rPr>
        <w:t>)</w:t>
      </w:r>
      <w:r w:rsidRPr="00F10D9C">
        <w:rPr>
          <w:rFonts w:ascii="Calibri" w:eastAsia="Calibri" w:hAnsi="Calibri"/>
          <w:noProof/>
          <w:szCs w:val="22"/>
        </w:rPr>
        <w:drawing>
          <wp:inline distT="0" distB="0" distL="0" distR="0" wp14:anchorId="45C8950C" wp14:editId="229D73BA">
            <wp:extent cx="6504317" cy="259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8150" cy="2605522"/>
                    </a:xfrm>
                    <a:prstGeom prst="rect">
                      <a:avLst/>
                    </a:prstGeom>
                    <a:noFill/>
                  </pic:spPr>
                </pic:pic>
              </a:graphicData>
            </a:graphic>
          </wp:inline>
        </w:drawing>
      </w:r>
    </w:p>
    <w:p w14:paraId="38FA650C" w14:textId="77777777" w:rsidR="00F10D9C" w:rsidRPr="00F10D9C" w:rsidRDefault="00F10D9C" w:rsidP="00F10D9C">
      <w:pPr>
        <w:spacing w:before="0" w:after="200" w:line="276" w:lineRule="auto"/>
        <w:contextualSpacing/>
        <w:rPr>
          <w:rFonts w:ascii="Calibri" w:eastAsia="Calibri" w:hAnsi="Calibri"/>
          <w:b/>
          <w:szCs w:val="22"/>
          <w:lang w:eastAsia="en-US"/>
        </w:rPr>
      </w:pPr>
    </w:p>
    <w:p w14:paraId="555F36BF" w14:textId="20F91E58" w:rsidR="00F10D9C" w:rsidRPr="00F10D9C" w:rsidRDefault="00F10D9C" w:rsidP="00120666">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Standard Operating Procedure</w:t>
      </w:r>
    </w:p>
    <w:p w14:paraId="3F7969B2" w14:textId="77777777" w:rsidR="00F10D9C" w:rsidRP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 xml:space="preserve">Part 1: The tumour testing pathway </w:t>
      </w:r>
    </w:p>
    <w:p w14:paraId="2FD8B878" w14:textId="77777777" w:rsidR="00F10D9C" w:rsidRPr="00F10D9C" w:rsidRDefault="00F10D9C" w:rsidP="00F10D9C">
      <w:pPr>
        <w:spacing w:before="0" w:after="200" w:line="276" w:lineRule="auto"/>
        <w:contextualSpacing/>
        <w:rPr>
          <w:rFonts w:ascii="Calibri" w:eastAsia="Calibri" w:hAnsi="Calibri"/>
          <w:b/>
          <w:szCs w:val="22"/>
          <w:lang w:eastAsia="en-US"/>
        </w:rPr>
      </w:pPr>
    </w:p>
    <w:p w14:paraId="28298F2A"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Initial tumour assessment for Lynch Syndrome</w:t>
      </w:r>
    </w:p>
    <w:p w14:paraId="5D66013E"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Every patient with a new diagnosis of Colorectal Cancer (CRC) should have their first available tumour sample tested for the expression of the four Mismatch Repair (MMR) proteins done by MMR Immunochemistry (IHC). </w:t>
      </w:r>
    </w:p>
    <w:p w14:paraId="2D4A9033"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 xml:space="preserve">This result should be available within 7 days of first tumour biopsy to ensure that it can be discussed at the index CRC MDM.  </w:t>
      </w:r>
    </w:p>
    <w:p w14:paraId="208AC4DA"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 xml:space="preserve">IHC should be performed in the first available endoscopic biopsies, but may be performed in surgical resection specimens where endoscopic biopsies were not available/previously tested.   </w:t>
      </w:r>
    </w:p>
    <w:p w14:paraId="06AEAE40"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At least 60% of patients should have testing performed on colonoscopic biopsies,</w:t>
      </w:r>
    </w:p>
    <w:p w14:paraId="765F7290"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100% of patients should have testing where tumour tissue is available.</w:t>
      </w:r>
    </w:p>
    <w:p w14:paraId="46BAE9AF"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MMR IHC results should be discussed and documented during the MDT meeting.</w:t>
      </w:r>
    </w:p>
    <w:p w14:paraId="0BA3C3A8" w14:textId="77777777" w:rsidR="00F10D9C" w:rsidRPr="00F10D9C" w:rsidRDefault="00F10D9C" w:rsidP="00F10D9C">
      <w:pPr>
        <w:spacing w:before="0" w:after="200" w:line="276" w:lineRule="auto"/>
        <w:ind w:left="-66"/>
        <w:contextualSpacing/>
        <w:rPr>
          <w:rFonts w:eastAsia="Calibri" w:cs="Arial"/>
          <w:szCs w:val="22"/>
          <w:lang w:eastAsia="en-US"/>
        </w:rPr>
      </w:pPr>
    </w:p>
    <w:p w14:paraId="2495B8C8"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Action following MMR IHC results &amp; referral for genetic counselling</w:t>
      </w:r>
    </w:p>
    <w:p w14:paraId="1EDEA5B4"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MMR IHC assesses the expression of the four MMR proteins: MLH1, MSH2, MSH6, and PMS2. If there is a loss of any of these proteins, then further diagnostic tests are indicated.</w:t>
      </w:r>
    </w:p>
    <w:p w14:paraId="5E87A415"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All patients with a tumour sample with loss of MMR protein expression </w:t>
      </w:r>
      <w:r w:rsidRPr="00F10D9C">
        <w:rPr>
          <w:rFonts w:eastAsia="Calibri" w:cs="Arial"/>
          <w:i/>
          <w:szCs w:val="22"/>
          <w:u w:val="single"/>
          <w:lang w:eastAsia="en-US"/>
        </w:rPr>
        <w:t>but without loss of MLH1</w:t>
      </w:r>
      <w:r w:rsidRPr="00F10D9C">
        <w:rPr>
          <w:rFonts w:eastAsia="Calibri" w:cs="Arial"/>
          <w:szCs w:val="22"/>
          <w:u w:val="single"/>
          <w:lang w:eastAsia="en-US"/>
        </w:rPr>
        <w:t xml:space="preserve"> </w:t>
      </w:r>
      <w:r w:rsidRPr="00F10D9C">
        <w:rPr>
          <w:rFonts w:eastAsia="Calibri" w:cs="Arial"/>
          <w:szCs w:val="22"/>
          <w:lang w:eastAsia="en-US"/>
        </w:rPr>
        <w:t xml:space="preserve">should now be referred for genetic counselling and testing. This action should be documented in the MDM outcome. </w:t>
      </w:r>
      <w:r w:rsidRPr="00F10D9C">
        <w:rPr>
          <w:rFonts w:eastAsia="Calibri" w:cs="Arial"/>
          <w:b/>
          <w:szCs w:val="22"/>
          <w:lang w:eastAsia="en-US"/>
        </w:rPr>
        <w:t>Go to section d)</w:t>
      </w:r>
    </w:p>
    <w:p w14:paraId="14AEB497" w14:textId="77777777" w:rsidR="00F10D9C" w:rsidRPr="00F10D9C" w:rsidRDefault="00F10D9C" w:rsidP="00F10D9C">
      <w:pPr>
        <w:spacing w:before="0" w:after="200" w:line="276" w:lineRule="auto"/>
        <w:ind w:left="720"/>
        <w:contextualSpacing/>
        <w:rPr>
          <w:rFonts w:eastAsia="Calibri" w:cs="Arial"/>
          <w:b/>
          <w:szCs w:val="22"/>
          <w:lang w:eastAsia="en-US"/>
        </w:rPr>
      </w:pPr>
    </w:p>
    <w:p w14:paraId="0D52BB1B"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Further testing for tumour samples with loss of expression of MLH1 or loss of MLH1+PMS2 on MMR IHC</w:t>
      </w:r>
    </w:p>
    <w:p w14:paraId="39E0C1C4" w14:textId="77777777" w:rsidR="00F10D9C" w:rsidRPr="00F10D9C" w:rsidRDefault="00F10D9C" w:rsidP="00120666">
      <w:pPr>
        <w:numPr>
          <w:ilvl w:val="0"/>
          <w:numId w:val="34"/>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Tumour samples with loss of MLH1 expression will require further testing. This can be either MLH1 promoter Hypermethylation </w:t>
      </w:r>
      <w:r w:rsidRPr="00F10D9C">
        <w:rPr>
          <w:rFonts w:eastAsia="Calibri" w:cs="Arial"/>
          <w:szCs w:val="22"/>
          <w:u w:val="single"/>
          <w:lang w:eastAsia="en-US"/>
        </w:rPr>
        <w:t>or</w:t>
      </w:r>
      <w:r w:rsidRPr="00F10D9C">
        <w:rPr>
          <w:rFonts w:eastAsia="Calibri" w:cs="Arial"/>
          <w:szCs w:val="22"/>
          <w:lang w:eastAsia="en-US"/>
        </w:rPr>
        <w:t xml:space="preserve"> </w:t>
      </w:r>
      <w:r w:rsidRPr="00F10D9C">
        <w:rPr>
          <w:rFonts w:eastAsia="Calibri" w:cs="Arial"/>
          <w:i/>
          <w:szCs w:val="22"/>
          <w:lang w:eastAsia="en-US"/>
        </w:rPr>
        <w:t>BRAF</w:t>
      </w:r>
      <w:r w:rsidRPr="00F10D9C">
        <w:rPr>
          <w:rFonts w:eastAsia="Calibri" w:cs="Arial"/>
          <w:szCs w:val="22"/>
          <w:lang w:eastAsia="en-US"/>
        </w:rPr>
        <w:t xml:space="preserve"> mutation testing of the tumour. </w:t>
      </w:r>
      <w:r w:rsidRPr="00F10D9C">
        <w:rPr>
          <w:rFonts w:eastAsia="Calibri" w:cs="Arial"/>
          <w:szCs w:val="22"/>
          <w:u w:val="single"/>
          <w:lang w:eastAsia="en-US"/>
        </w:rPr>
        <w:t>Only one of these tests is necessary</w:t>
      </w:r>
      <w:r w:rsidRPr="00F10D9C">
        <w:rPr>
          <w:rFonts w:eastAsia="Calibri" w:cs="Arial"/>
          <w:szCs w:val="22"/>
          <w:lang w:eastAsia="en-US"/>
        </w:rPr>
        <w:t xml:space="preserve"> before referral for genetic testing.</w:t>
      </w:r>
    </w:p>
    <w:p w14:paraId="7E765690" w14:textId="77777777" w:rsidR="00F10D9C" w:rsidRPr="00F10D9C" w:rsidRDefault="00F10D9C" w:rsidP="00120666">
      <w:pPr>
        <w:numPr>
          <w:ilvl w:val="1"/>
          <w:numId w:val="34"/>
        </w:numPr>
        <w:spacing w:before="0" w:after="200" w:line="276" w:lineRule="auto"/>
        <w:contextualSpacing/>
        <w:rPr>
          <w:rFonts w:eastAsia="Calibri" w:cs="Arial"/>
          <w:szCs w:val="22"/>
          <w:lang w:eastAsia="en-US"/>
        </w:rPr>
      </w:pPr>
      <w:r w:rsidRPr="00F10D9C">
        <w:rPr>
          <w:rFonts w:eastAsia="Calibri" w:cs="Arial"/>
          <w:szCs w:val="22"/>
          <w:lang w:eastAsia="en-US"/>
        </w:rPr>
        <w:t>Methylation testing of MLH1 should be ‘reflex’ requested by the CRC MDT pathologist who reports the IHC MMR.</w:t>
      </w:r>
    </w:p>
    <w:p w14:paraId="1CE3D4C4" w14:textId="77777777" w:rsidR="00F10D9C" w:rsidRPr="00F10D9C" w:rsidRDefault="00F10D9C" w:rsidP="00120666">
      <w:pPr>
        <w:numPr>
          <w:ilvl w:val="1"/>
          <w:numId w:val="34"/>
        </w:numPr>
        <w:spacing w:before="0" w:after="200" w:line="276" w:lineRule="auto"/>
        <w:contextualSpacing/>
        <w:rPr>
          <w:rFonts w:eastAsia="Calibri" w:cs="Arial"/>
          <w:szCs w:val="22"/>
          <w:lang w:eastAsia="en-US"/>
        </w:rPr>
      </w:pPr>
      <w:r w:rsidRPr="00F10D9C">
        <w:rPr>
          <w:rFonts w:eastAsia="Calibri" w:cs="Arial"/>
          <w:szCs w:val="22"/>
          <w:lang w:eastAsia="en-US"/>
        </w:rPr>
        <w:t>The MDT should discuss and document the MMR IHC result and choose either MLH1 promoter Hypermethylation as a default test,</w:t>
      </w:r>
      <w:r w:rsidRPr="00F10D9C">
        <w:rPr>
          <w:rFonts w:eastAsia="Calibri" w:cs="Arial"/>
          <w:i/>
          <w:szCs w:val="22"/>
          <w:lang w:eastAsia="en-US"/>
        </w:rPr>
        <w:t xml:space="preserve"> </w:t>
      </w:r>
      <w:r w:rsidRPr="00F10D9C">
        <w:rPr>
          <w:rFonts w:eastAsia="Calibri" w:cs="Arial"/>
          <w:szCs w:val="22"/>
          <w:lang w:eastAsia="en-US"/>
        </w:rPr>
        <w:t xml:space="preserve">or </w:t>
      </w:r>
      <w:r w:rsidRPr="00F10D9C">
        <w:rPr>
          <w:rFonts w:eastAsia="Calibri" w:cs="Arial"/>
          <w:i/>
          <w:szCs w:val="22"/>
          <w:lang w:eastAsia="en-US"/>
        </w:rPr>
        <w:t xml:space="preserve">BRAF </w:t>
      </w:r>
      <w:r w:rsidRPr="00F10D9C">
        <w:rPr>
          <w:rFonts w:eastAsia="Calibri" w:cs="Arial"/>
          <w:szCs w:val="22"/>
          <w:lang w:eastAsia="en-US"/>
        </w:rPr>
        <w:t xml:space="preserve">testing as an alternative.  If the patient is due to have systemic therapy then </w:t>
      </w:r>
      <w:r w:rsidRPr="00F10D9C">
        <w:rPr>
          <w:rFonts w:eastAsia="Calibri" w:cs="Arial"/>
          <w:i/>
          <w:szCs w:val="22"/>
          <w:lang w:eastAsia="en-US"/>
        </w:rPr>
        <w:t>BRAF</w:t>
      </w:r>
      <w:r w:rsidRPr="00F10D9C">
        <w:rPr>
          <w:rFonts w:eastAsia="Calibri" w:cs="Arial"/>
          <w:szCs w:val="22"/>
          <w:lang w:eastAsia="en-US"/>
        </w:rPr>
        <w:t xml:space="preserve"> testing should be requested as part of a somatic panel as per NICE Colorectal Cancer guidelines NG151.  </w:t>
      </w:r>
    </w:p>
    <w:p w14:paraId="6B661FD1" w14:textId="77777777" w:rsidR="00F10D9C" w:rsidRPr="00F10D9C" w:rsidRDefault="00F10D9C" w:rsidP="00120666">
      <w:pPr>
        <w:numPr>
          <w:ilvl w:val="0"/>
          <w:numId w:val="30"/>
        </w:numPr>
        <w:spacing w:before="0" w:after="200" w:line="276" w:lineRule="auto"/>
        <w:ind w:left="851"/>
        <w:contextualSpacing/>
        <w:rPr>
          <w:rFonts w:eastAsia="Calibri" w:cs="Arial"/>
          <w:b/>
          <w:szCs w:val="22"/>
          <w:lang w:eastAsia="en-US"/>
        </w:rPr>
      </w:pPr>
      <w:r w:rsidRPr="00F10D9C">
        <w:rPr>
          <w:rFonts w:eastAsia="Calibri" w:cs="Arial"/>
          <w:szCs w:val="22"/>
          <w:lang w:eastAsia="en-US"/>
        </w:rPr>
        <w:t xml:space="preserve">Once the result is available, the MDT should arrange further MDM discussion. </w:t>
      </w:r>
    </w:p>
    <w:p w14:paraId="47DF931B" w14:textId="77777777" w:rsidR="00F10D9C" w:rsidRPr="00F10D9C" w:rsidRDefault="00F10D9C" w:rsidP="00F10D9C">
      <w:pPr>
        <w:spacing w:before="0" w:after="200" w:line="276" w:lineRule="auto"/>
        <w:ind w:left="1418" w:hanging="284"/>
        <w:contextualSpacing/>
        <w:rPr>
          <w:rFonts w:eastAsia="Calibri" w:cs="Arial"/>
          <w:b/>
          <w:szCs w:val="22"/>
          <w:lang w:eastAsia="en-US"/>
        </w:rPr>
      </w:pPr>
      <w:r w:rsidRPr="00F10D9C">
        <w:rPr>
          <w:rFonts w:eastAsia="Calibri" w:cs="Arial"/>
          <w:szCs w:val="22"/>
          <w:lang w:eastAsia="en-US"/>
        </w:rPr>
        <w:t xml:space="preserve">1) If the tumour sample is </w:t>
      </w:r>
      <w:r w:rsidRPr="00F10D9C">
        <w:rPr>
          <w:rFonts w:eastAsia="Calibri" w:cs="Arial"/>
          <w:b/>
          <w:szCs w:val="22"/>
          <w:lang w:eastAsia="en-US"/>
        </w:rPr>
        <w:t xml:space="preserve">absent </w:t>
      </w:r>
      <w:r w:rsidRPr="00F10D9C">
        <w:rPr>
          <w:rFonts w:eastAsia="Calibri" w:cs="Arial"/>
          <w:szCs w:val="22"/>
          <w:lang w:eastAsia="en-US"/>
        </w:rPr>
        <w:t xml:space="preserve">of </w:t>
      </w:r>
      <w:r w:rsidRPr="00F10D9C">
        <w:rPr>
          <w:rFonts w:eastAsia="Calibri" w:cs="Arial"/>
          <w:b/>
          <w:szCs w:val="22"/>
          <w:lang w:eastAsia="en-US"/>
        </w:rPr>
        <w:t xml:space="preserve">MLH1 promoter Hypermethylation </w:t>
      </w:r>
      <w:r w:rsidRPr="00F10D9C">
        <w:rPr>
          <w:rFonts w:eastAsia="Calibri" w:cs="Arial"/>
          <w:szCs w:val="22"/>
          <w:lang w:eastAsia="en-US"/>
        </w:rPr>
        <w:t xml:space="preserve">or no mutation is identified in </w:t>
      </w:r>
      <w:r w:rsidRPr="00F10D9C">
        <w:rPr>
          <w:rFonts w:eastAsia="Calibri" w:cs="Arial"/>
          <w:b/>
          <w:i/>
          <w:szCs w:val="22"/>
          <w:lang w:eastAsia="en-US"/>
        </w:rPr>
        <w:t xml:space="preserve">BRAF </w:t>
      </w:r>
      <w:r w:rsidRPr="00F10D9C">
        <w:rPr>
          <w:rFonts w:eastAsia="Calibri" w:cs="Arial"/>
          <w:szCs w:val="22"/>
          <w:lang w:eastAsia="en-US"/>
        </w:rPr>
        <w:t xml:space="preserve">(also called </w:t>
      </w:r>
      <w:r w:rsidRPr="00F10D9C">
        <w:rPr>
          <w:rFonts w:eastAsia="Calibri" w:cs="Arial"/>
          <w:i/>
          <w:szCs w:val="22"/>
          <w:lang w:eastAsia="en-US"/>
        </w:rPr>
        <w:t>BRAF</w:t>
      </w:r>
      <w:r w:rsidRPr="00F10D9C">
        <w:rPr>
          <w:rFonts w:eastAsia="Calibri" w:cs="Arial"/>
          <w:szCs w:val="22"/>
          <w:lang w:eastAsia="en-US"/>
        </w:rPr>
        <w:t xml:space="preserve"> wild type), the patient may have Lynch Syndrome and should immediately be referred for genetic testing. </w:t>
      </w:r>
    </w:p>
    <w:p w14:paraId="671B4826" w14:textId="77777777" w:rsidR="00F10D9C" w:rsidRPr="00F10D9C" w:rsidRDefault="00F10D9C" w:rsidP="00120666">
      <w:pPr>
        <w:spacing w:before="0" w:after="0" w:line="276" w:lineRule="auto"/>
        <w:ind w:left="1418" w:hanging="284"/>
        <w:rPr>
          <w:rFonts w:eastAsia="Calibri" w:cs="Arial"/>
          <w:szCs w:val="22"/>
          <w:lang w:eastAsia="en-US"/>
        </w:rPr>
      </w:pPr>
      <w:r w:rsidRPr="00F10D9C">
        <w:rPr>
          <w:rFonts w:eastAsia="Calibri" w:cs="Arial"/>
          <w:szCs w:val="22"/>
          <w:lang w:eastAsia="en-US"/>
        </w:rPr>
        <w:t xml:space="preserve">2) If the tumour sample shows that there is a mutation in </w:t>
      </w:r>
      <w:r w:rsidRPr="00F10D9C">
        <w:rPr>
          <w:rFonts w:eastAsia="Calibri" w:cs="Arial"/>
          <w:i/>
          <w:szCs w:val="22"/>
          <w:lang w:eastAsia="en-US"/>
        </w:rPr>
        <w:t>BRAF</w:t>
      </w:r>
      <w:r w:rsidRPr="00F10D9C">
        <w:rPr>
          <w:rFonts w:eastAsia="Calibri" w:cs="Arial"/>
          <w:szCs w:val="22"/>
          <w:lang w:eastAsia="en-US"/>
        </w:rPr>
        <w:t xml:space="preserve">, or MLH1 promoter methylation is identified, then it is unlikely that the patient has Lynch syndrome. </w:t>
      </w:r>
    </w:p>
    <w:p w14:paraId="1CABD5BD" w14:textId="77777777" w:rsidR="00F10D9C" w:rsidRPr="00F10D9C" w:rsidRDefault="00F10D9C" w:rsidP="00120666">
      <w:pPr>
        <w:numPr>
          <w:ilvl w:val="0"/>
          <w:numId w:val="30"/>
        </w:numPr>
        <w:spacing w:before="0" w:after="200" w:line="276" w:lineRule="auto"/>
        <w:ind w:left="993"/>
        <w:contextualSpacing/>
        <w:rPr>
          <w:rFonts w:eastAsia="Calibri" w:cs="Arial"/>
          <w:b/>
          <w:szCs w:val="22"/>
          <w:lang w:eastAsia="en-US"/>
        </w:rPr>
      </w:pPr>
      <w:r w:rsidRPr="00F10D9C">
        <w:rPr>
          <w:rFonts w:eastAsia="Calibri" w:cs="Arial"/>
          <w:szCs w:val="22"/>
          <w:lang w:eastAsia="en-US"/>
        </w:rPr>
        <w:t>Patients without evidence of Lynch syndrome on tumour testing, but who are diagnosed with CRC under age 30 years, or those with a high risk family history of CRC, may also be referred to regional expert centres for further genetic assessment.</w:t>
      </w:r>
    </w:p>
    <w:p w14:paraId="073377C6" w14:textId="77777777" w:rsidR="00F10D9C" w:rsidRPr="00F10D9C" w:rsidRDefault="00F10D9C" w:rsidP="00F10D9C">
      <w:pPr>
        <w:spacing w:before="0" w:after="200" w:line="276" w:lineRule="auto"/>
        <w:ind w:left="720"/>
        <w:contextualSpacing/>
        <w:rPr>
          <w:rFonts w:eastAsia="Calibri" w:cs="Arial"/>
          <w:b/>
          <w:szCs w:val="22"/>
          <w:lang w:eastAsia="en-US"/>
        </w:rPr>
      </w:pPr>
    </w:p>
    <w:p w14:paraId="77223889" w14:textId="77777777" w:rsidR="00067FAF" w:rsidRDefault="00067FAF">
      <w:pPr>
        <w:spacing w:before="0" w:after="0"/>
        <w:rPr>
          <w:rFonts w:eastAsia="Calibri" w:cs="Arial"/>
          <w:b/>
          <w:szCs w:val="22"/>
          <w:lang w:eastAsia="en-US"/>
        </w:rPr>
      </w:pPr>
      <w:r>
        <w:rPr>
          <w:rFonts w:eastAsia="Calibri" w:cs="Arial"/>
          <w:b/>
          <w:szCs w:val="22"/>
          <w:lang w:eastAsia="en-US"/>
        </w:rPr>
        <w:br w:type="page"/>
      </w:r>
    </w:p>
    <w:p w14:paraId="5C869EAD" w14:textId="6DF1FA74"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lastRenderedPageBreak/>
        <w:t>Referral for genetic counselling</w:t>
      </w:r>
    </w:p>
    <w:p w14:paraId="33823215" w14:textId="77777777" w:rsidR="00F10D9C" w:rsidRPr="00F10D9C"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Once the a patient have been identified as eligible for genetic testing, the MDT should choose whether to refer the patient to their local clinical genetics centre, or refer to a trained member of the CRC MDT for genetic counselling for the Lynch Syndrome panel of genes. </w:t>
      </w:r>
    </w:p>
    <w:p w14:paraId="24C8244D" w14:textId="77777777" w:rsidR="00F10D9C" w:rsidRPr="00F10D9C"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A referral proforma letter should be completed during the MDM, ready to be processed and posted immediately. An example of this fast-track MDM referral letter can be found in </w:t>
      </w:r>
      <w:r w:rsidRPr="00F10D9C">
        <w:rPr>
          <w:rFonts w:eastAsia="Calibri" w:cs="Arial"/>
          <w:b/>
          <w:i/>
          <w:szCs w:val="22"/>
          <w:lang w:eastAsia="en-US"/>
        </w:rPr>
        <w:t>appendix 1</w:t>
      </w:r>
      <w:r w:rsidRPr="00F10D9C">
        <w:rPr>
          <w:rFonts w:eastAsia="Calibri" w:cs="Arial"/>
          <w:szCs w:val="22"/>
          <w:lang w:eastAsia="en-US"/>
        </w:rPr>
        <w:t>.</w:t>
      </w:r>
    </w:p>
    <w:p w14:paraId="2D255B31" w14:textId="77777777" w:rsidR="00F10D9C" w:rsidRPr="00F10D9C"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Eligible patients should be informed by an MDT member that they are refer to: </w:t>
      </w:r>
    </w:p>
    <w:p w14:paraId="58D22CF4" w14:textId="3CD487D9" w:rsidR="00F10D9C" w:rsidRPr="00F10D9C" w:rsidRDefault="00F10D9C" w:rsidP="00120666">
      <w:pPr>
        <w:numPr>
          <w:ilvl w:val="1"/>
          <w:numId w:val="29"/>
        </w:numPr>
        <w:spacing w:before="0" w:after="200" w:line="276" w:lineRule="auto"/>
        <w:contextualSpacing/>
        <w:rPr>
          <w:rFonts w:eastAsia="Calibri" w:cs="Arial"/>
          <w:b/>
          <w:szCs w:val="22"/>
          <w:lang w:eastAsia="en-US"/>
        </w:rPr>
      </w:pPr>
      <w:r w:rsidRPr="00F10D9C">
        <w:rPr>
          <w:rFonts w:eastAsia="Calibri" w:cs="Arial"/>
          <w:szCs w:val="22"/>
          <w:lang w:eastAsia="en-US"/>
        </w:rPr>
        <w:t>their local clinical genetics centre</w:t>
      </w:r>
      <w:r w:rsidR="00120666" w:rsidRPr="00120666">
        <w:rPr>
          <w:rFonts w:eastAsia="Calibri" w:cs="Arial"/>
          <w:szCs w:val="22"/>
          <w:lang w:eastAsia="en-US"/>
        </w:rPr>
        <w:t xml:space="preserve">, </w:t>
      </w:r>
      <w:r w:rsidRPr="00F10D9C">
        <w:rPr>
          <w:rFonts w:eastAsia="Calibri" w:cs="Arial"/>
          <w:b/>
          <w:szCs w:val="22"/>
          <w:lang w:eastAsia="en-US"/>
        </w:rPr>
        <w:t xml:space="preserve">or </w:t>
      </w:r>
    </w:p>
    <w:p w14:paraId="12136536" w14:textId="77777777" w:rsidR="00F10D9C" w:rsidRPr="00F10D9C" w:rsidRDefault="00F10D9C" w:rsidP="00F10D9C">
      <w:pPr>
        <w:numPr>
          <w:ilvl w:val="1"/>
          <w:numId w:val="29"/>
        </w:numPr>
        <w:spacing w:before="0" w:after="200" w:line="276" w:lineRule="auto"/>
        <w:contextualSpacing/>
        <w:rPr>
          <w:rFonts w:eastAsia="Calibri" w:cs="Arial"/>
          <w:b/>
          <w:szCs w:val="22"/>
          <w:lang w:eastAsia="en-US"/>
        </w:rPr>
      </w:pPr>
      <w:proofErr w:type="gramStart"/>
      <w:r w:rsidRPr="00F10D9C">
        <w:rPr>
          <w:rFonts w:eastAsia="Calibri" w:cs="Arial"/>
          <w:szCs w:val="22"/>
          <w:lang w:eastAsia="en-US"/>
        </w:rPr>
        <w:t>or</w:t>
      </w:r>
      <w:proofErr w:type="gramEnd"/>
      <w:r w:rsidRPr="00F10D9C">
        <w:rPr>
          <w:rFonts w:eastAsia="Calibri" w:cs="Arial"/>
          <w:szCs w:val="22"/>
          <w:lang w:eastAsia="en-US"/>
        </w:rPr>
        <w:t xml:space="preserve"> a trained member of the MDT for genetic testing ‘in-house’.</w:t>
      </w:r>
    </w:p>
    <w:p w14:paraId="0D1E708F" w14:textId="77777777" w:rsidR="00F10D9C" w:rsidRPr="00F10D9C" w:rsidRDefault="00F10D9C" w:rsidP="00F10D9C">
      <w:pPr>
        <w:spacing w:before="0" w:after="200" w:line="276" w:lineRule="auto"/>
        <w:ind w:left="720"/>
        <w:contextualSpacing/>
        <w:rPr>
          <w:rFonts w:ascii="Calibri" w:eastAsia="Calibri" w:hAnsi="Calibri"/>
          <w:b/>
          <w:sz w:val="16"/>
          <w:szCs w:val="16"/>
          <w:lang w:eastAsia="en-US"/>
        </w:rPr>
      </w:pPr>
    </w:p>
    <w:p w14:paraId="63D0CA4E" w14:textId="77777777" w:rsid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Part 2: Mainstreaming: Genetic counselling &amp; testing performed by members of local CRC MDTs</w:t>
      </w:r>
    </w:p>
    <w:p w14:paraId="59C9983A" w14:textId="77777777" w:rsidR="00120666" w:rsidRPr="00F10D9C" w:rsidRDefault="00120666" w:rsidP="00F10D9C">
      <w:pPr>
        <w:spacing w:before="0" w:after="200" w:line="276" w:lineRule="auto"/>
        <w:contextualSpacing/>
        <w:rPr>
          <w:rFonts w:eastAsia="Calibri" w:cs="Arial"/>
          <w:b/>
          <w:sz w:val="24"/>
          <w:szCs w:val="22"/>
          <w:lang w:eastAsia="en-US"/>
        </w:rPr>
      </w:pPr>
    </w:p>
    <w:p w14:paraId="5BEE008E" w14:textId="77777777" w:rsidR="00F10D9C" w:rsidRPr="00F10D9C" w:rsidRDefault="00F10D9C" w:rsidP="00120666">
      <w:pPr>
        <w:numPr>
          <w:ilvl w:val="0"/>
          <w:numId w:val="32"/>
        </w:numPr>
        <w:spacing w:before="0" w:after="200" w:line="276" w:lineRule="auto"/>
        <w:ind w:left="993"/>
        <w:contextualSpacing/>
        <w:rPr>
          <w:rFonts w:eastAsia="Calibri" w:cs="Arial"/>
          <w:b/>
          <w:szCs w:val="22"/>
          <w:lang w:eastAsia="en-US"/>
        </w:rPr>
      </w:pPr>
      <w:r w:rsidRPr="00F10D9C">
        <w:rPr>
          <w:rFonts w:eastAsia="Calibri" w:cs="Arial"/>
          <w:szCs w:val="22"/>
          <w:lang w:eastAsia="en-US"/>
        </w:rPr>
        <w:t>Before offering ‘in-house’ mainstreaming, a member of the local CRC MDT should have completed the online training for mainstreaming with certification.</w:t>
      </w:r>
    </w:p>
    <w:p w14:paraId="549828D8" w14:textId="77777777" w:rsidR="00F10D9C" w:rsidRPr="00F10D9C" w:rsidRDefault="00F10D9C" w:rsidP="00120666">
      <w:pPr>
        <w:numPr>
          <w:ilvl w:val="0"/>
          <w:numId w:val="32"/>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The individual who performed the genetic counselling is responsible for checking the results which should be available in approximately 6-8 weeks. </w:t>
      </w:r>
    </w:p>
    <w:p w14:paraId="6C63B777" w14:textId="77777777" w:rsidR="00F10D9C" w:rsidRPr="00F10D9C" w:rsidRDefault="00F10D9C" w:rsidP="00120666">
      <w:pPr>
        <w:numPr>
          <w:ilvl w:val="0"/>
          <w:numId w:val="32"/>
        </w:numPr>
        <w:spacing w:before="0" w:after="200" w:line="276" w:lineRule="auto"/>
        <w:ind w:left="993"/>
        <w:contextualSpacing/>
        <w:rPr>
          <w:rFonts w:eastAsia="Calibri" w:cs="Arial"/>
          <w:b/>
          <w:szCs w:val="22"/>
          <w:lang w:eastAsia="en-US"/>
        </w:rPr>
      </w:pPr>
      <w:r w:rsidRPr="00F10D9C">
        <w:rPr>
          <w:rFonts w:eastAsia="Calibri" w:cs="Arial"/>
          <w:szCs w:val="22"/>
          <w:lang w:eastAsia="en-US"/>
        </w:rPr>
        <w:t>MDTs are responsible for monitoring and auctioning test results</w:t>
      </w:r>
    </w:p>
    <w:p w14:paraId="3893D30E" w14:textId="77777777" w:rsidR="00120666" w:rsidRDefault="00F10D9C" w:rsidP="00120666">
      <w:pPr>
        <w:numPr>
          <w:ilvl w:val="0"/>
          <w:numId w:val="23"/>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After germline genetic testing </w:t>
      </w:r>
      <w:r w:rsidRPr="00F10D9C">
        <w:rPr>
          <w:rFonts w:eastAsia="Calibri" w:cs="Arial"/>
          <w:szCs w:val="22"/>
          <w:u w:val="single"/>
          <w:lang w:eastAsia="en-US"/>
        </w:rPr>
        <w:t>all</w:t>
      </w:r>
      <w:r w:rsidRPr="00F10D9C">
        <w:rPr>
          <w:rFonts w:eastAsia="Calibri" w:cs="Arial"/>
          <w:szCs w:val="22"/>
          <w:lang w:eastAsia="en-US"/>
        </w:rPr>
        <w:t xml:space="preserve"> patients should be referred to their local clinical genetics centre for </w:t>
      </w:r>
      <w:r w:rsidRPr="00F10D9C">
        <w:rPr>
          <w:rFonts w:eastAsia="Calibri" w:cs="Arial"/>
          <w:szCs w:val="22"/>
          <w:u w:val="single"/>
          <w:lang w:eastAsia="en-US"/>
        </w:rPr>
        <w:t>virtual</w:t>
      </w:r>
      <w:r w:rsidRPr="00F10D9C">
        <w:rPr>
          <w:rFonts w:eastAsia="Calibri" w:cs="Arial"/>
          <w:szCs w:val="22"/>
          <w:lang w:eastAsia="en-US"/>
        </w:rPr>
        <w:t xml:space="preserve"> review and further management using a fast-track letter (see </w:t>
      </w:r>
      <w:r w:rsidRPr="00F10D9C">
        <w:rPr>
          <w:rFonts w:eastAsia="Calibri" w:cs="Arial"/>
          <w:b/>
          <w:i/>
          <w:szCs w:val="22"/>
          <w:lang w:eastAsia="en-US"/>
        </w:rPr>
        <w:t>appendix 1</w:t>
      </w:r>
      <w:r w:rsidRPr="00F10D9C">
        <w:rPr>
          <w:rFonts w:eastAsia="Calibri" w:cs="Arial"/>
          <w:szCs w:val="22"/>
          <w:lang w:eastAsia="en-US"/>
        </w:rPr>
        <w:t>) during/after MDM.</w:t>
      </w:r>
    </w:p>
    <w:p w14:paraId="4962CBAA" w14:textId="77777777" w:rsidR="00120666" w:rsidRDefault="00F10D9C" w:rsidP="00120666">
      <w:pPr>
        <w:numPr>
          <w:ilvl w:val="1"/>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If a mutation was found, the regional expert centre will offer a consultation to discuss the diagnosis and implications of the result for the patient and other family members. </w:t>
      </w:r>
    </w:p>
    <w:p w14:paraId="3AE04745" w14:textId="77777777" w:rsidR="00120666" w:rsidRDefault="00F10D9C" w:rsidP="00120666">
      <w:pPr>
        <w:numPr>
          <w:ilvl w:val="1"/>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If a variant of uncertain significance (VUS) was found, or no mutation was found, the expert centre will perform a </w:t>
      </w:r>
      <w:r w:rsidRPr="00F10D9C">
        <w:rPr>
          <w:rFonts w:eastAsia="Calibri" w:cs="Arial"/>
          <w:b/>
          <w:i/>
          <w:szCs w:val="22"/>
          <w:lang w:eastAsia="en-US"/>
        </w:rPr>
        <w:t>virtual review</w:t>
      </w:r>
      <w:r w:rsidRPr="00F10D9C">
        <w:rPr>
          <w:rFonts w:eastAsia="Calibri" w:cs="Arial"/>
          <w:szCs w:val="22"/>
          <w:lang w:eastAsia="en-US"/>
        </w:rPr>
        <w:t xml:space="preserve"> of the case to assess if further tumour testing or segregation studies could be offered. </w:t>
      </w:r>
    </w:p>
    <w:p w14:paraId="099FBCFB" w14:textId="77777777" w:rsidR="00120666" w:rsidRDefault="00F10D9C" w:rsidP="00120666">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The CRC MDT clinician who performed the genetic counselling should contact the patient and give them their genetic result. </w:t>
      </w:r>
    </w:p>
    <w:p w14:paraId="0662B4FB" w14:textId="77777777" w:rsidR="00120666" w:rsidRDefault="00F10D9C" w:rsidP="00120666">
      <w:pPr>
        <w:numPr>
          <w:ilvl w:val="1"/>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The patient will be referred to the clinical genetics department for </w:t>
      </w:r>
      <w:r w:rsidRPr="00F10D9C">
        <w:rPr>
          <w:rFonts w:eastAsia="Calibri" w:cs="Arial"/>
          <w:i/>
          <w:szCs w:val="22"/>
          <w:lang w:eastAsia="en-US"/>
        </w:rPr>
        <w:t>virtual</w:t>
      </w:r>
      <w:r w:rsidRPr="00F10D9C">
        <w:rPr>
          <w:rFonts w:eastAsia="Calibri" w:cs="Arial"/>
          <w:szCs w:val="22"/>
          <w:lang w:eastAsia="en-US"/>
        </w:rPr>
        <w:t xml:space="preserve"> review, and possibly further consultation based on clinical need. </w:t>
      </w:r>
    </w:p>
    <w:p w14:paraId="6D7AA850" w14:textId="77777777" w:rsidR="00120666" w:rsidRDefault="00F10D9C" w:rsidP="00120666">
      <w:pPr>
        <w:numPr>
          <w:ilvl w:val="1"/>
          <w:numId w:val="23"/>
        </w:numPr>
        <w:spacing w:before="0" w:after="200" w:line="276" w:lineRule="auto"/>
        <w:contextualSpacing/>
        <w:rPr>
          <w:rFonts w:eastAsia="Calibri" w:cs="Arial"/>
          <w:b/>
          <w:szCs w:val="22"/>
          <w:lang w:eastAsia="en-US"/>
        </w:rPr>
      </w:pPr>
      <w:r w:rsidRPr="00F10D9C">
        <w:rPr>
          <w:rFonts w:eastAsia="Calibri" w:cs="Arial"/>
          <w:szCs w:val="22"/>
          <w:lang w:eastAsia="en-US"/>
        </w:rPr>
        <w:t>A family history of cancer should be included in the referral.</w:t>
      </w:r>
    </w:p>
    <w:p w14:paraId="4DFA971B" w14:textId="77777777" w:rsidR="00120666" w:rsidRDefault="00F10D9C" w:rsidP="00120666">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The CRC MDT clinician should make surveillance recommendations for the patient, and for their first degree family members in line with BSG guidelines. </w:t>
      </w:r>
    </w:p>
    <w:p w14:paraId="74AE721C" w14:textId="59CF8BF4" w:rsidR="00F10D9C" w:rsidRPr="00F10D9C" w:rsidRDefault="00F10D9C" w:rsidP="00120666">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Results and surveillance recommendations may be discussed in regional specialised cancer genetics MDT meeting, e.g. </w:t>
      </w:r>
      <w:r w:rsidRPr="00F10D9C">
        <w:rPr>
          <w:rFonts w:eastAsia="Calibri" w:cs="Arial"/>
          <w:b/>
          <w:szCs w:val="22"/>
          <w:lang w:eastAsia="en-US"/>
        </w:rPr>
        <w:t xml:space="preserve">St Mark’s virtual (Microsoft Teams) Hereditary CRC MDM </w:t>
      </w:r>
      <w:r w:rsidRPr="00F10D9C">
        <w:rPr>
          <w:rFonts w:eastAsia="Calibri" w:cs="Arial"/>
          <w:b/>
          <w:szCs w:val="22"/>
          <w:u w:val="single"/>
          <w:lang w:eastAsia="en-US"/>
        </w:rPr>
        <w:t>Tuesdays at 9am</w:t>
      </w:r>
      <w:r w:rsidRPr="00F10D9C">
        <w:rPr>
          <w:rFonts w:eastAsia="Calibri" w:cs="Arial"/>
          <w:szCs w:val="22"/>
          <w:lang w:eastAsia="en-US"/>
        </w:rPr>
        <w:t xml:space="preserve">. If you would like to attend this meeting or present a case, you can email </w:t>
      </w:r>
      <w:hyperlink r:id="rId11" w:history="1">
        <w:r w:rsidRPr="00120666">
          <w:rPr>
            <w:rFonts w:eastAsia="Calibri" w:cs="Arial"/>
            <w:color w:val="0000FF"/>
            <w:szCs w:val="22"/>
            <w:u w:val="single"/>
            <w:lang w:val="en-US"/>
          </w:rPr>
          <w:t>LNWH-tr.SMFCC@nhs.net</w:t>
        </w:r>
      </w:hyperlink>
      <w:r w:rsidRPr="00F10D9C" w:rsidDel="00837A03">
        <w:rPr>
          <w:rFonts w:eastAsia="Calibri" w:cs="Arial"/>
          <w:szCs w:val="22"/>
          <w:lang w:eastAsia="en-US"/>
        </w:rPr>
        <w:t xml:space="preserve"> </w:t>
      </w:r>
      <w:r w:rsidRPr="00F10D9C">
        <w:rPr>
          <w:rFonts w:eastAsia="Calibri" w:cs="Arial"/>
          <w:szCs w:val="22"/>
          <w:lang w:eastAsia="en-US"/>
        </w:rPr>
        <w:t>for the Microsoft Teams access details.</w:t>
      </w:r>
      <w:r w:rsidR="00120666">
        <w:rPr>
          <w:rFonts w:eastAsia="Calibri" w:cs="Arial"/>
          <w:szCs w:val="22"/>
          <w:lang w:eastAsia="en-US"/>
        </w:rPr>
        <w:br/>
      </w:r>
    </w:p>
    <w:p w14:paraId="05222A54" w14:textId="77777777" w:rsidR="00F10D9C" w:rsidRPr="00F10D9C" w:rsidRDefault="00F10D9C" w:rsidP="00120666">
      <w:pPr>
        <w:numPr>
          <w:ilvl w:val="0"/>
          <w:numId w:val="24"/>
        </w:numPr>
        <w:spacing w:before="0" w:after="200" w:line="276" w:lineRule="auto"/>
        <w:ind w:left="284"/>
        <w:contextualSpacing/>
        <w:rPr>
          <w:rFonts w:eastAsia="Calibri" w:cs="Arial"/>
          <w:b/>
          <w:szCs w:val="22"/>
          <w:lang w:eastAsia="en-US"/>
        </w:rPr>
      </w:pPr>
      <w:r w:rsidRPr="00F10D9C">
        <w:rPr>
          <w:rFonts w:eastAsia="Calibri" w:cs="Arial"/>
          <w:b/>
          <w:szCs w:val="22"/>
          <w:lang w:eastAsia="en-US"/>
        </w:rPr>
        <w:t>References</w:t>
      </w:r>
    </w:p>
    <w:p w14:paraId="0ABE796A" w14:textId="77777777" w:rsidR="00F10D9C" w:rsidRPr="00F10D9C" w:rsidRDefault="00F10D9C" w:rsidP="00120666">
      <w:pPr>
        <w:spacing w:before="0" w:after="40" w:line="276" w:lineRule="auto"/>
        <w:ind w:left="284"/>
        <w:rPr>
          <w:rFonts w:eastAsia="Calibri" w:cs="Arial"/>
          <w:szCs w:val="22"/>
          <w:lang w:eastAsia="en-US"/>
        </w:rPr>
      </w:pPr>
      <w:r w:rsidRPr="00F10D9C">
        <w:rPr>
          <w:rFonts w:eastAsia="Calibri" w:cs="Arial"/>
          <w:szCs w:val="22"/>
          <w:lang w:eastAsia="en-US"/>
        </w:rPr>
        <w:t>NICE DG27 guidance ‘Molecular testing strategies for Lynch syndrome in people with colorectal cancer’</w:t>
      </w:r>
    </w:p>
    <w:p w14:paraId="48448105" w14:textId="77777777" w:rsidR="00F10D9C" w:rsidRPr="00F10D9C" w:rsidRDefault="00D00776" w:rsidP="00120666">
      <w:pPr>
        <w:spacing w:before="0" w:after="40" w:line="276" w:lineRule="auto"/>
        <w:ind w:left="284"/>
        <w:rPr>
          <w:rFonts w:eastAsia="Calibri" w:cs="Arial"/>
          <w:szCs w:val="22"/>
          <w:lang w:eastAsia="en-US"/>
        </w:rPr>
      </w:pPr>
      <w:hyperlink r:id="rId12" w:history="1">
        <w:r w:rsidR="00F10D9C" w:rsidRPr="00120666">
          <w:rPr>
            <w:rFonts w:eastAsia="Calibri" w:cs="Arial"/>
            <w:color w:val="0000FF"/>
            <w:szCs w:val="22"/>
            <w:u w:val="single"/>
            <w:lang w:eastAsia="en-US"/>
          </w:rPr>
          <w:t>https://www.nice.org.uk/guidance/ dg27</w:t>
        </w:r>
      </w:hyperlink>
    </w:p>
    <w:p w14:paraId="0716686C" w14:textId="77777777" w:rsidR="00F10D9C" w:rsidRPr="00F10D9C" w:rsidRDefault="00F10D9C" w:rsidP="00120666">
      <w:pPr>
        <w:spacing w:before="0" w:after="40" w:line="276" w:lineRule="auto"/>
        <w:ind w:left="284"/>
        <w:rPr>
          <w:rFonts w:eastAsia="Calibri" w:cs="Arial"/>
          <w:szCs w:val="22"/>
          <w:lang w:eastAsia="en-US"/>
        </w:rPr>
      </w:pPr>
    </w:p>
    <w:p w14:paraId="01B0B547" w14:textId="77777777" w:rsidR="00F10D9C" w:rsidRPr="00F10D9C" w:rsidRDefault="00F10D9C" w:rsidP="00120666">
      <w:pPr>
        <w:spacing w:before="0" w:after="40" w:line="276" w:lineRule="auto"/>
        <w:ind w:left="284"/>
        <w:rPr>
          <w:rFonts w:eastAsia="Calibri" w:cs="Arial"/>
          <w:szCs w:val="22"/>
          <w:lang w:eastAsia="en-US"/>
        </w:rPr>
      </w:pPr>
      <w:r w:rsidRPr="00F10D9C">
        <w:rPr>
          <w:rFonts w:eastAsia="Calibri" w:cs="Arial"/>
          <w:szCs w:val="22"/>
          <w:lang w:eastAsia="en-US"/>
        </w:rPr>
        <w:t>NHS long term plan: The NSH England handbook for cancer alliances (2020) ‘Implementing Lynch syndrome testing and surveillance pathways: A handbook for Cancer Alliances’</w:t>
      </w:r>
    </w:p>
    <w:p w14:paraId="7327278D" w14:textId="77777777" w:rsidR="00F10D9C" w:rsidRPr="00F10D9C" w:rsidRDefault="00D00776" w:rsidP="00120666">
      <w:pPr>
        <w:spacing w:before="0" w:after="40" w:line="276" w:lineRule="auto"/>
        <w:ind w:left="284"/>
        <w:rPr>
          <w:rFonts w:eastAsia="Calibri" w:cs="Arial"/>
          <w:szCs w:val="22"/>
          <w:lang w:eastAsia="en-US"/>
        </w:rPr>
      </w:pPr>
      <w:hyperlink r:id="rId13" w:history="1">
        <w:r w:rsidR="00F10D9C" w:rsidRPr="00120666">
          <w:rPr>
            <w:rFonts w:eastAsia="Calibri" w:cs="Arial"/>
            <w:color w:val="0000FF"/>
            <w:szCs w:val="22"/>
            <w:u w:val="single"/>
            <w:lang w:eastAsia="en-US"/>
          </w:rPr>
          <w:t>https://www.longtermplan.nhs.uk/</w:t>
        </w:r>
      </w:hyperlink>
    </w:p>
    <w:p w14:paraId="4025465C" w14:textId="77777777" w:rsidR="00F10D9C" w:rsidRPr="00F10D9C" w:rsidRDefault="00F10D9C" w:rsidP="00F10D9C">
      <w:pPr>
        <w:spacing w:before="0" w:after="40" w:line="276" w:lineRule="auto"/>
        <w:rPr>
          <w:rFonts w:ascii="Calibri" w:eastAsia="Calibri" w:hAnsi="Calibri"/>
          <w:i/>
          <w:szCs w:val="22"/>
          <w:lang w:eastAsia="en-US"/>
        </w:rPr>
      </w:pPr>
    </w:p>
    <w:p w14:paraId="710904D2" w14:textId="77777777" w:rsidR="00F10D9C" w:rsidRPr="00F10D9C" w:rsidRDefault="00F10D9C" w:rsidP="00120666">
      <w:pPr>
        <w:spacing w:before="0" w:after="40" w:line="276" w:lineRule="auto"/>
        <w:ind w:left="284"/>
        <w:rPr>
          <w:rFonts w:eastAsia="Calibri" w:cs="Arial"/>
          <w:szCs w:val="22"/>
          <w:lang w:eastAsia="en-US"/>
        </w:rPr>
      </w:pPr>
      <w:r w:rsidRPr="00F10D9C">
        <w:rPr>
          <w:rFonts w:eastAsia="Calibri" w:cs="Arial"/>
          <w:szCs w:val="22"/>
          <w:lang w:eastAsia="en-US"/>
        </w:rPr>
        <w:t>Lynch syndrome quality improvement project</w:t>
      </w:r>
    </w:p>
    <w:p w14:paraId="020ADE7C" w14:textId="77777777" w:rsidR="00F10D9C" w:rsidRPr="00F10D9C" w:rsidRDefault="00D00776" w:rsidP="00120666">
      <w:pPr>
        <w:spacing w:before="0" w:after="40" w:line="276" w:lineRule="auto"/>
        <w:ind w:left="284"/>
        <w:rPr>
          <w:rFonts w:eastAsia="Calibri" w:cs="Arial"/>
          <w:szCs w:val="22"/>
          <w:lang w:eastAsia="en-US"/>
        </w:rPr>
      </w:pPr>
      <w:hyperlink r:id="rId14" w:history="1">
        <w:r w:rsidR="00F10D9C" w:rsidRPr="00120666">
          <w:rPr>
            <w:rFonts w:eastAsia="Calibri" w:cs="Arial"/>
            <w:color w:val="0000FF"/>
            <w:szCs w:val="22"/>
            <w:u w:val="single"/>
            <w:lang w:eastAsia="en-US"/>
          </w:rPr>
          <w:t>https://rmpartners.nhs.uk/lynch-syndrome/</w:t>
        </w:r>
      </w:hyperlink>
    </w:p>
    <w:p w14:paraId="7605E7A0" w14:textId="77777777" w:rsidR="00F10D9C" w:rsidRPr="00F10D9C" w:rsidRDefault="00F10D9C" w:rsidP="00120666">
      <w:pPr>
        <w:spacing w:before="0" w:after="40" w:line="276" w:lineRule="auto"/>
        <w:ind w:left="284"/>
        <w:rPr>
          <w:rFonts w:eastAsia="Calibri" w:cs="Arial"/>
          <w:szCs w:val="22"/>
          <w:lang w:eastAsia="en-US"/>
        </w:rPr>
      </w:pPr>
    </w:p>
    <w:p w14:paraId="5B93E840" w14:textId="77777777" w:rsidR="00F10D9C" w:rsidRPr="00F10D9C" w:rsidRDefault="00F10D9C" w:rsidP="00120666">
      <w:pPr>
        <w:spacing w:before="0" w:after="40" w:line="276" w:lineRule="auto"/>
        <w:ind w:left="284"/>
        <w:rPr>
          <w:rFonts w:eastAsia="Calibri" w:cs="Arial"/>
          <w:szCs w:val="22"/>
          <w:lang w:eastAsia="en-US"/>
        </w:rPr>
      </w:pPr>
      <w:r w:rsidRPr="00F10D9C">
        <w:rPr>
          <w:rFonts w:eastAsia="Calibri" w:cs="Arial"/>
          <w:szCs w:val="22"/>
          <w:lang w:eastAsia="en-US"/>
        </w:rPr>
        <w:t>Lynch syndrome training website</w:t>
      </w:r>
    </w:p>
    <w:p w14:paraId="5441CB39" w14:textId="77777777" w:rsidR="00F10D9C" w:rsidRPr="00F10D9C" w:rsidRDefault="00D00776" w:rsidP="00120666">
      <w:pPr>
        <w:spacing w:before="0" w:after="40" w:line="276" w:lineRule="auto"/>
        <w:ind w:left="284"/>
        <w:rPr>
          <w:rFonts w:eastAsia="Calibri" w:cs="Arial"/>
          <w:szCs w:val="22"/>
          <w:lang w:eastAsia="en-US"/>
        </w:rPr>
      </w:pPr>
      <w:hyperlink r:id="rId15" w:history="1">
        <w:r w:rsidR="00F10D9C" w:rsidRPr="00120666">
          <w:rPr>
            <w:rFonts w:eastAsia="Calibri" w:cs="Arial"/>
            <w:color w:val="0000FF"/>
            <w:szCs w:val="22"/>
            <w:u w:val="single"/>
            <w:lang w:eastAsia="en-US"/>
          </w:rPr>
          <w:t>https://rmpartners.nhs.uk/lynch-syndrome-early-diagnosis-pathway/</w:t>
        </w:r>
      </w:hyperlink>
    </w:p>
    <w:p w14:paraId="7B1E19BA" w14:textId="77777777" w:rsidR="00F10D9C" w:rsidRPr="00F10D9C" w:rsidRDefault="00F10D9C" w:rsidP="00120666">
      <w:pPr>
        <w:spacing w:before="0" w:after="40" w:line="276" w:lineRule="auto"/>
        <w:ind w:left="284"/>
        <w:rPr>
          <w:rFonts w:eastAsia="Calibri" w:cs="Arial"/>
          <w:szCs w:val="22"/>
          <w:lang w:eastAsia="en-US"/>
        </w:rPr>
      </w:pPr>
    </w:p>
    <w:p w14:paraId="4CCDF479" w14:textId="77777777" w:rsidR="00F10D9C" w:rsidRPr="00F10D9C" w:rsidRDefault="00F10D9C" w:rsidP="00120666">
      <w:pPr>
        <w:spacing w:before="0" w:after="40" w:line="276" w:lineRule="auto"/>
        <w:ind w:left="284"/>
        <w:rPr>
          <w:rFonts w:eastAsia="Calibri" w:cs="Arial"/>
          <w:szCs w:val="22"/>
          <w:lang w:eastAsia="en-US"/>
        </w:rPr>
      </w:pPr>
      <w:r w:rsidRPr="00F10D9C">
        <w:rPr>
          <w:rFonts w:eastAsia="Calibri" w:cs="Arial"/>
          <w:szCs w:val="22"/>
          <w:lang w:eastAsia="en-US"/>
        </w:rPr>
        <w:t>Lynch syndrome training supporting documents</w:t>
      </w:r>
    </w:p>
    <w:p w14:paraId="1428A232" w14:textId="77777777" w:rsidR="00F10D9C" w:rsidRPr="00F10D9C" w:rsidRDefault="00D00776" w:rsidP="00120666">
      <w:pPr>
        <w:spacing w:before="0" w:after="40" w:line="276" w:lineRule="auto"/>
        <w:ind w:left="284"/>
        <w:rPr>
          <w:rFonts w:eastAsia="Calibri" w:cs="Arial"/>
          <w:szCs w:val="22"/>
          <w:lang w:eastAsia="en-US"/>
        </w:rPr>
      </w:pPr>
      <w:hyperlink r:id="rId16" w:history="1">
        <w:r w:rsidR="00F10D9C" w:rsidRPr="00120666">
          <w:rPr>
            <w:rFonts w:eastAsia="Calibri" w:cs="Arial"/>
            <w:color w:val="0000FF"/>
            <w:szCs w:val="22"/>
            <w:u w:val="single"/>
            <w:lang w:eastAsia="en-US"/>
          </w:rPr>
          <w:t>https://rmpartners.nhs.uk/lynch-syndrome/supporting-documents</w:t>
        </w:r>
      </w:hyperlink>
    </w:p>
    <w:p w14:paraId="75E322A4" w14:textId="77777777" w:rsidR="00F10D9C" w:rsidRPr="00F10D9C" w:rsidRDefault="00F10D9C" w:rsidP="00120666">
      <w:pPr>
        <w:spacing w:before="0" w:after="40" w:line="276" w:lineRule="auto"/>
        <w:ind w:left="284"/>
        <w:rPr>
          <w:rFonts w:eastAsia="Calibri" w:cs="Arial"/>
          <w:szCs w:val="22"/>
          <w:lang w:eastAsia="en-US"/>
        </w:rPr>
      </w:pPr>
    </w:p>
    <w:p w14:paraId="25B4DC8D" w14:textId="77777777" w:rsidR="00F10D9C" w:rsidRPr="00F10D9C" w:rsidRDefault="00F10D9C" w:rsidP="00120666">
      <w:pPr>
        <w:spacing w:before="0" w:after="40" w:line="276" w:lineRule="auto"/>
        <w:ind w:left="284"/>
        <w:rPr>
          <w:rFonts w:eastAsia="Calibri" w:cs="Arial"/>
          <w:szCs w:val="22"/>
          <w:lang w:eastAsia="en-US"/>
        </w:rPr>
      </w:pPr>
      <w:r w:rsidRPr="00F10D9C">
        <w:rPr>
          <w:rFonts w:eastAsia="Calibri" w:cs="Arial"/>
          <w:szCs w:val="22"/>
          <w:lang w:eastAsia="en-US"/>
        </w:rPr>
        <w:t>Lynch syndrome patient information website</w:t>
      </w:r>
    </w:p>
    <w:p w14:paraId="267DC126" w14:textId="77777777" w:rsidR="00F10D9C" w:rsidRPr="00F10D9C" w:rsidRDefault="00D00776" w:rsidP="00120666">
      <w:pPr>
        <w:spacing w:before="0" w:after="40" w:line="276" w:lineRule="auto"/>
        <w:ind w:left="284"/>
        <w:rPr>
          <w:rFonts w:eastAsia="Calibri" w:cs="Arial"/>
          <w:i/>
          <w:szCs w:val="22"/>
          <w:lang w:eastAsia="en-US"/>
        </w:rPr>
      </w:pPr>
      <w:hyperlink r:id="rId17" w:history="1">
        <w:r w:rsidR="00F10D9C" w:rsidRPr="00120666">
          <w:rPr>
            <w:rFonts w:eastAsia="Calibri" w:cs="Arial"/>
            <w:color w:val="0000FF"/>
            <w:szCs w:val="22"/>
            <w:u w:val="single"/>
            <w:lang w:eastAsia="en-US"/>
          </w:rPr>
          <w:t>https://rmpartners.nhs.uk/lynch-syndrome/patient-information</w:t>
        </w:r>
      </w:hyperlink>
    </w:p>
    <w:p w14:paraId="4167A3EC" w14:textId="77777777" w:rsidR="00F10D9C" w:rsidRPr="00F10D9C" w:rsidRDefault="00F10D9C" w:rsidP="00F10D9C">
      <w:pPr>
        <w:spacing w:before="0" w:after="200" w:line="276" w:lineRule="auto"/>
        <w:rPr>
          <w:rFonts w:ascii="Calibri" w:eastAsia="Calibri" w:hAnsi="Calibri"/>
          <w:b/>
          <w:szCs w:val="22"/>
          <w:lang w:eastAsia="en-US"/>
        </w:rPr>
      </w:pPr>
    </w:p>
    <w:p w14:paraId="0DA0411C" w14:textId="77777777" w:rsidR="00120666" w:rsidRDefault="00120666">
      <w:pPr>
        <w:spacing w:before="0" w:after="0"/>
        <w:rPr>
          <w:rFonts w:ascii="Calibri" w:eastAsia="Calibri" w:hAnsi="Calibri"/>
          <w:b/>
          <w:szCs w:val="22"/>
          <w:lang w:eastAsia="en-US"/>
        </w:rPr>
      </w:pPr>
      <w:r>
        <w:rPr>
          <w:rFonts w:ascii="Calibri" w:eastAsia="Calibri" w:hAnsi="Calibri"/>
          <w:b/>
          <w:szCs w:val="22"/>
          <w:lang w:eastAsia="en-US"/>
        </w:rPr>
        <w:br w:type="page"/>
      </w:r>
    </w:p>
    <w:p w14:paraId="6C3978ED" w14:textId="5344B352" w:rsidR="00F10D9C" w:rsidRPr="00F10D9C" w:rsidRDefault="00F10D9C" w:rsidP="00120666">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 xml:space="preserve">Appendix 1 </w:t>
      </w:r>
    </w:p>
    <w:p w14:paraId="73E11D6C" w14:textId="77777777" w:rsidR="00F10D9C" w:rsidRPr="00F10D9C" w:rsidRDefault="00F10D9C" w:rsidP="00F10D9C">
      <w:pPr>
        <w:spacing w:before="0" w:after="200" w:line="276" w:lineRule="auto"/>
        <w:rPr>
          <w:rFonts w:eastAsia="Calibri" w:cs="Arial"/>
          <w:i/>
          <w:color w:val="808080"/>
          <w:sz w:val="18"/>
          <w:szCs w:val="18"/>
          <w:lang w:eastAsia="en-US"/>
        </w:rPr>
      </w:pPr>
      <w:r w:rsidRPr="00F10D9C">
        <w:rPr>
          <w:rFonts w:eastAsia="Calibri" w:cs="Arial"/>
          <w:i/>
          <w:color w:val="808080"/>
          <w:sz w:val="18"/>
          <w:szCs w:val="18"/>
          <w:lang w:eastAsia="en-US"/>
        </w:rPr>
        <w:t>Hospital’s Header Here</w:t>
      </w:r>
    </w:p>
    <w:p w14:paraId="1E32A5DB" w14:textId="77777777"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Dr GP</w:t>
      </w:r>
    </w:p>
    <w:p w14:paraId="18119283" w14:textId="38206AF0"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highlight w:val="yellow"/>
        </w:rPr>
        <w:t>A</w:t>
      </w:r>
      <w:r w:rsidR="00120666">
        <w:rPr>
          <w:rFonts w:eastAsia="Calibri" w:cs="Arial"/>
          <w:sz w:val="18"/>
          <w:szCs w:val="18"/>
          <w:highlight w:val="yellow"/>
        </w:rPr>
        <w:t>d</w:t>
      </w:r>
      <w:r w:rsidRPr="00F10D9C">
        <w:rPr>
          <w:rFonts w:eastAsia="Calibri" w:cs="Arial"/>
          <w:sz w:val="18"/>
          <w:szCs w:val="18"/>
          <w:highlight w:val="yellow"/>
        </w:rPr>
        <w:t>dress</w:t>
      </w:r>
    </w:p>
    <w:p w14:paraId="752E57CB" w14:textId="77777777" w:rsidR="00F10D9C" w:rsidRPr="00F10D9C" w:rsidRDefault="00F10D9C" w:rsidP="00F10D9C">
      <w:pPr>
        <w:spacing w:before="0" w:after="200" w:line="276" w:lineRule="auto"/>
        <w:rPr>
          <w:rFonts w:eastAsia="Calibri" w:cs="Arial"/>
          <w:sz w:val="18"/>
          <w:szCs w:val="18"/>
        </w:rPr>
      </w:pPr>
    </w:p>
    <w:p w14:paraId="0DEB0D65" w14:textId="4EB34FE1"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Date: ……….</w:t>
      </w:r>
    </w:p>
    <w:p w14:paraId="0D6D9EE8" w14:textId="77777777" w:rsidR="00F10D9C" w:rsidRPr="00F10D9C" w:rsidRDefault="00F10D9C" w:rsidP="00F10D9C">
      <w:pPr>
        <w:spacing w:before="0" w:after="200" w:line="276" w:lineRule="auto"/>
        <w:rPr>
          <w:rFonts w:eastAsia="Calibri" w:cs="Arial"/>
          <w:sz w:val="18"/>
          <w:szCs w:val="18"/>
        </w:rPr>
      </w:pPr>
    </w:p>
    <w:p w14:paraId="4175DB22" w14:textId="77777777"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Dear Dr …,</w:t>
      </w:r>
    </w:p>
    <w:p w14:paraId="616491AC" w14:textId="77777777" w:rsidR="00F10D9C" w:rsidRPr="00F10D9C" w:rsidRDefault="00F10D9C" w:rsidP="00F10D9C">
      <w:pPr>
        <w:spacing w:before="0" w:after="200" w:line="276" w:lineRule="auto"/>
        <w:rPr>
          <w:rFonts w:eastAsia="Calibri" w:cs="Arial"/>
          <w:sz w:val="18"/>
          <w:szCs w:val="18"/>
        </w:rPr>
      </w:pPr>
      <w:r w:rsidRPr="00F10D9C">
        <w:rPr>
          <w:rFonts w:eastAsia="Calibri" w:cs="Arial"/>
          <w:b/>
          <w:i/>
          <w:sz w:val="18"/>
          <w:szCs w:val="18"/>
          <w:highlight w:val="yellow"/>
        </w:rPr>
        <w:t>Mr/Mrs</w:t>
      </w:r>
      <w:r w:rsidRPr="00F10D9C">
        <w:rPr>
          <w:rFonts w:eastAsia="Calibri" w:cs="Arial"/>
          <w:b/>
          <w:i/>
          <w:sz w:val="18"/>
          <w:szCs w:val="18"/>
        </w:rPr>
        <w:t xml:space="preserve"> </w:t>
      </w:r>
      <w:r w:rsidRPr="00F10D9C">
        <w:rPr>
          <w:rFonts w:eastAsia="Calibri" w:cs="Arial"/>
          <w:sz w:val="18"/>
          <w:szCs w:val="18"/>
        </w:rPr>
        <w:t xml:space="preserve">has been discussed in our colorectal cancer MDT. According to current NICE guidelines and the guidelines from British Society of Gastroenterology (BCG) for hereditary colorectal cancer, </w:t>
      </w:r>
      <w:r w:rsidRPr="00F10D9C">
        <w:rPr>
          <w:rFonts w:eastAsia="Calibri" w:cs="Arial"/>
          <w:sz w:val="18"/>
          <w:szCs w:val="18"/>
          <w:highlight w:val="yellow"/>
        </w:rPr>
        <w:t>Patient name</w:t>
      </w:r>
      <w:r w:rsidRPr="00F10D9C">
        <w:rPr>
          <w:rFonts w:eastAsia="Calibri" w:cs="Arial"/>
          <w:b/>
          <w:i/>
          <w:sz w:val="18"/>
          <w:szCs w:val="18"/>
        </w:rPr>
        <w:t xml:space="preserve"> </w:t>
      </w:r>
      <w:r w:rsidRPr="00F10D9C">
        <w:rPr>
          <w:rFonts w:eastAsia="Calibri" w:cs="Arial"/>
          <w:sz w:val="18"/>
          <w:szCs w:val="18"/>
        </w:rPr>
        <w:t>requires referral to further discuss his family history of cancer, genetic assessment, and possible genetic testing for Lynch Syndrome for the following reason:</w:t>
      </w:r>
    </w:p>
    <w:p w14:paraId="6A356A05" w14:textId="77777777" w:rsidR="00F10D9C" w:rsidRPr="00F10D9C" w:rsidRDefault="00F10D9C" w:rsidP="00F10D9C">
      <w:pPr>
        <w:spacing w:before="0" w:after="200" w:line="276" w:lineRule="auto"/>
        <w:ind w:firstLine="720"/>
        <w:rPr>
          <w:rFonts w:eastAsia="Calibri" w:cs="Arial"/>
          <w:sz w:val="18"/>
          <w:szCs w:val="18"/>
        </w:rPr>
      </w:pPr>
      <w:r w:rsidRPr="00F10D9C">
        <w:rPr>
          <w:rFonts w:eastAsia="Calibri" w:cs="Arial"/>
          <w:sz w:val="18"/>
          <w:szCs w:val="18"/>
        </w:rPr>
        <w:t xml:space="preserve">IHC result shows loss of    ………………………………….   </w:t>
      </w:r>
      <w:sdt>
        <w:sdtPr>
          <w:rPr>
            <w:rFonts w:eastAsia="Calibri" w:cs="Arial"/>
            <w:sz w:val="18"/>
            <w:szCs w:val="18"/>
          </w:rPr>
          <w:id w:val="19440933"/>
          <w14:checkbox>
            <w14:checked w14:val="0"/>
            <w14:checkedState w14:val="2612" w14:font="MS Gothic"/>
            <w14:uncheckedState w14:val="2610" w14:font="MS Gothic"/>
          </w14:checkbox>
        </w:sdtPr>
        <w:sdtEndPr/>
        <w:sdtContent>
          <w:r w:rsidRPr="00F10D9C">
            <w:rPr>
              <w:rFonts w:ascii="Segoe UI Symbol" w:eastAsia="Calibri" w:hAnsi="Segoe UI Symbol" w:cs="Segoe UI Symbol"/>
              <w:sz w:val="18"/>
              <w:szCs w:val="18"/>
            </w:rPr>
            <w:t>☐</w:t>
          </w:r>
        </w:sdtContent>
      </w:sdt>
    </w:p>
    <w:p w14:paraId="1E31294B" w14:textId="77777777" w:rsidR="00F10D9C" w:rsidRPr="00F10D9C" w:rsidRDefault="00F10D9C" w:rsidP="00F10D9C">
      <w:pPr>
        <w:spacing w:before="0" w:after="200" w:line="276" w:lineRule="auto"/>
        <w:ind w:firstLine="720"/>
        <w:rPr>
          <w:rFonts w:eastAsia="Calibri" w:cs="Arial"/>
          <w:sz w:val="18"/>
          <w:szCs w:val="18"/>
        </w:rPr>
      </w:pPr>
      <w:r w:rsidRPr="00F10D9C">
        <w:rPr>
          <w:rFonts w:eastAsia="Calibri" w:cs="Arial"/>
          <w:sz w:val="18"/>
          <w:szCs w:val="18"/>
        </w:rPr>
        <w:t xml:space="preserve">If loss of MLH1, further testing performed    ………….....… </w:t>
      </w:r>
      <w:sdt>
        <w:sdtPr>
          <w:rPr>
            <w:rFonts w:eastAsia="Calibri" w:cs="Arial"/>
            <w:sz w:val="18"/>
            <w:szCs w:val="18"/>
          </w:rPr>
          <w:id w:val="-554235086"/>
          <w14:checkbox>
            <w14:checked w14:val="0"/>
            <w14:checkedState w14:val="2612" w14:font="MS Gothic"/>
            <w14:uncheckedState w14:val="2610" w14:font="MS Gothic"/>
          </w14:checkbox>
        </w:sdtPr>
        <w:sdtEndPr/>
        <w:sdtContent>
          <w:r w:rsidRPr="00F10D9C">
            <w:rPr>
              <w:rFonts w:ascii="Segoe UI Symbol" w:eastAsia="Calibri" w:hAnsi="Segoe UI Symbol" w:cs="Segoe UI Symbol"/>
              <w:sz w:val="18"/>
              <w:szCs w:val="18"/>
            </w:rPr>
            <w:t>☐</w:t>
          </w:r>
        </w:sdtContent>
      </w:sdt>
    </w:p>
    <w:p w14:paraId="5F09F62A" w14:textId="77777777" w:rsidR="00F10D9C" w:rsidRPr="00F10D9C" w:rsidRDefault="00F10D9C" w:rsidP="00F10D9C">
      <w:pPr>
        <w:spacing w:before="0" w:after="200" w:line="276" w:lineRule="auto"/>
        <w:ind w:firstLine="720"/>
        <w:rPr>
          <w:rFonts w:eastAsia="Calibri" w:cs="Arial"/>
          <w:sz w:val="18"/>
          <w:szCs w:val="18"/>
        </w:rPr>
      </w:pPr>
      <w:r w:rsidRPr="00F10D9C">
        <w:rPr>
          <w:rFonts w:eastAsia="Calibri" w:cs="Arial"/>
          <w:sz w:val="18"/>
          <w:szCs w:val="18"/>
        </w:rPr>
        <w:tab/>
        <w:t>Result:</w:t>
      </w:r>
    </w:p>
    <w:p w14:paraId="1C3593E2" w14:textId="77777777" w:rsidR="00F10D9C" w:rsidRPr="00F10D9C" w:rsidRDefault="00F10D9C" w:rsidP="00F10D9C">
      <w:pPr>
        <w:spacing w:before="0" w:after="200" w:line="276" w:lineRule="auto"/>
        <w:ind w:left="720" w:firstLine="720"/>
        <w:rPr>
          <w:rFonts w:eastAsia="Calibri" w:cs="Arial"/>
          <w:sz w:val="18"/>
          <w:szCs w:val="18"/>
        </w:rPr>
      </w:pPr>
      <w:r w:rsidRPr="00F10D9C">
        <w:rPr>
          <w:rFonts w:eastAsia="Calibri" w:cs="Arial"/>
          <w:sz w:val="18"/>
          <w:szCs w:val="18"/>
        </w:rPr>
        <w:t xml:space="preserve">-Absent MLH1 Hypermethylation……………..  </w:t>
      </w:r>
      <w:sdt>
        <w:sdtPr>
          <w:rPr>
            <w:rFonts w:eastAsia="Calibri" w:cs="Arial"/>
            <w:sz w:val="18"/>
            <w:szCs w:val="18"/>
          </w:rPr>
          <w:id w:val="-1193064650"/>
          <w14:checkbox>
            <w14:checked w14:val="0"/>
            <w14:checkedState w14:val="2612" w14:font="MS Gothic"/>
            <w14:uncheckedState w14:val="2610" w14:font="MS Gothic"/>
          </w14:checkbox>
        </w:sdtPr>
        <w:sdtEndPr/>
        <w:sdtContent>
          <w:r w:rsidRPr="00F10D9C">
            <w:rPr>
              <w:rFonts w:ascii="Segoe UI Symbol" w:eastAsia="Calibri" w:hAnsi="Segoe UI Symbol" w:cs="Segoe UI Symbol"/>
              <w:sz w:val="18"/>
              <w:szCs w:val="18"/>
            </w:rPr>
            <w:t>☐</w:t>
          </w:r>
        </w:sdtContent>
      </w:sdt>
    </w:p>
    <w:p w14:paraId="4E770AC9" w14:textId="77777777" w:rsidR="00F10D9C" w:rsidRPr="00F10D9C" w:rsidRDefault="00F10D9C" w:rsidP="00F10D9C">
      <w:pPr>
        <w:spacing w:before="0" w:after="200" w:line="276" w:lineRule="auto"/>
        <w:ind w:left="720" w:firstLine="720"/>
        <w:rPr>
          <w:rFonts w:eastAsia="Calibri" w:cs="Arial"/>
          <w:sz w:val="18"/>
          <w:szCs w:val="18"/>
        </w:rPr>
      </w:pPr>
      <w:r w:rsidRPr="00F10D9C">
        <w:rPr>
          <w:rFonts w:eastAsia="Calibri" w:cs="Arial"/>
          <w:sz w:val="18"/>
          <w:szCs w:val="18"/>
        </w:rPr>
        <w:t xml:space="preserve">Or </w:t>
      </w:r>
    </w:p>
    <w:p w14:paraId="47E59803" w14:textId="77777777" w:rsidR="00F10D9C" w:rsidRPr="00F10D9C" w:rsidRDefault="00F10D9C" w:rsidP="00F10D9C">
      <w:pPr>
        <w:spacing w:before="0" w:after="200" w:line="276" w:lineRule="auto"/>
        <w:ind w:left="720" w:firstLine="720"/>
        <w:rPr>
          <w:rFonts w:eastAsia="Calibri" w:cs="Arial"/>
          <w:sz w:val="18"/>
          <w:szCs w:val="18"/>
        </w:rPr>
      </w:pPr>
      <w:r w:rsidRPr="00F10D9C">
        <w:rPr>
          <w:rFonts w:eastAsia="Calibri" w:cs="Arial"/>
          <w:sz w:val="18"/>
          <w:szCs w:val="18"/>
        </w:rPr>
        <w:t xml:space="preserve">-Absent of BRAF mutation ……..……………..  </w:t>
      </w:r>
      <w:sdt>
        <w:sdtPr>
          <w:rPr>
            <w:rFonts w:eastAsia="Calibri" w:cs="Arial"/>
            <w:sz w:val="18"/>
            <w:szCs w:val="18"/>
          </w:rPr>
          <w:id w:val="717321425"/>
          <w14:checkbox>
            <w14:checked w14:val="0"/>
            <w14:checkedState w14:val="2612" w14:font="MS Gothic"/>
            <w14:uncheckedState w14:val="2610" w14:font="MS Gothic"/>
          </w14:checkbox>
        </w:sdtPr>
        <w:sdtEndPr/>
        <w:sdtContent>
          <w:r w:rsidRPr="00F10D9C">
            <w:rPr>
              <w:rFonts w:ascii="Segoe UI Symbol" w:eastAsia="Calibri" w:hAnsi="Segoe UI Symbol" w:cs="Segoe UI Symbol"/>
              <w:sz w:val="18"/>
              <w:szCs w:val="18"/>
            </w:rPr>
            <w:t>☐</w:t>
          </w:r>
        </w:sdtContent>
      </w:sdt>
    </w:p>
    <w:p w14:paraId="4E058082" w14:textId="77777777" w:rsidR="00F10D9C" w:rsidRPr="00F10D9C" w:rsidRDefault="00F10D9C" w:rsidP="00F10D9C">
      <w:pPr>
        <w:spacing w:before="0" w:after="200" w:line="276" w:lineRule="auto"/>
        <w:ind w:left="720" w:firstLine="720"/>
        <w:rPr>
          <w:rFonts w:eastAsia="Calibri" w:cs="Arial"/>
          <w:sz w:val="18"/>
          <w:szCs w:val="18"/>
        </w:rPr>
      </w:pPr>
    </w:p>
    <w:p w14:paraId="441FD7C3" w14:textId="77777777"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 xml:space="preserve">As this is a new referral in the symptomatic service, the request is required to come from the General Practitioner. However, in order to expedite the patient to symptomatic service we have made this referral on your behalf.  If you have any objections please let us know as soon as possible. </w:t>
      </w:r>
    </w:p>
    <w:p w14:paraId="14A53A32" w14:textId="500C4AA5"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 xml:space="preserve">The patient has been advised of this referral. If you have any questions, you can contact the Family Cancer Clinic on 020 8235 4270, or by email: </w:t>
      </w:r>
      <w:hyperlink r:id="rId18" w:history="1">
        <w:r w:rsidRPr="00F10D9C">
          <w:rPr>
            <w:rFonts w:eastAsia="Calibri" w:cs="Arial"/>
            <w:sz w:val="18"/>
            <w:szCs w:val="18"/>
          </w:rPr>
          <w:t>LNWH-tr.SMFCC@nhs.net</w:t>
        </w:r>
      </w:hyperlink>
      <w:r w:rsidR="00120666">
        <w:rPr>
          <w:rFonts w:eastAsia="Calibri" w:cs="Arial"/>
          <w:sz w:val="18"/>
          <w:szCs w:val="18"/>
        </w:rPr>
        <w:t xml:space="preserve"> </w:t>
      </w:r>
      <w:r w:rsidRPr="00F10D9C">
        <w:rPr>
          <w:rFonts w:eastAsia="Calibri" w:cs="Arial"/>
          <w:sz w:val="18"/>
          <w:szCs w:val="18"/>
        </w:rPr>
        <w:t xml:space="preserve">  </w:t>
      </w:r>
    </w:p>
    <w:p w14:paraId="21B6484A" w14:textId="77777777"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Kind regards,</w:t>
      </w:r>
    </w:p>
    <w:p w14:paraId="68FFF43B" w14:textId="77777777" w:rsidR="00F10D9C" w:rsidRPr="00F10D9C" w:rsidRDefault="00F10D9C" w:rsidP="00F10D9C">
      <w:pPr>
        <w:spacing w:before="0" w:after="200" w:line="276" w:lineRule="auto"/>
        <w:rPr>
          <w:rFonts w:eastAsia="Calibri" w:cs="Arial"/>
          <w:sz w:val="18"/>
          <w:szCs w:val="18"/>
        </w:rPr>
      </w:pPr>
    </w:p>
    <w:p w14:paraId="3E4961DC" w14:textId="77777777" w:rsidR="00F10D9C" w:rsidRPr="00F10D9C" w:rsidRDefault="00F10D9C" w:rsidP="00F10D9C">
      <w:pPr>
        <w:spacing w:before="0" w:after="200" w:line="276" w:lineRule="auto"/>
        <w:rPr>
          <w:rFonts w:eastAsia="Calibri" w:cs="Arial"/>
          <w:sz w:val="18"/>
          <w:szCs w:val="18"/>
        </w:rPr>
      </w:pPr>
      <w:r w:rsidRPr="00F10D9C">
        <w:rPr>
          <w:rFonts w:eastAsia="Calibri" w:cs="Arial"/>
          <w:b/>
          <w:sz w:val="18"/>
          <w:szCs w:val="18"/>
        </w:rPr>
        <w:t xml:space="preserve">Referrer signature </w:t>
      </w:r>
    </w:p>
    <w:p w14:paraId="203C1A61" w14:textId="77777777" w:rsidR="00F10D9C" w:rsidRPr="00F10D9C" w:rsidRDefault="00F10D9C" w:rsidP="00F10D9C">
      <w:pPr>
        <w:spacing w:before="0" w:after="200" w:line="276" w:lineRule="auto"/>
        <w:rPr>
          <w:rFonts w:eastAsia="Calibri" w:cs="Arial"/>
          <w:sz w:val="18"/>
          <w:szCs w:val="18"/>
        </w:rPr>
      </w:pPr>
    </w:p>
    <w:p w14:paraId="3CCCAC77" w14:textId="77777777" w:rsidR="00F10D9C" w:rsidRPr="00F10D9C" w:rsidRDefault="00F10D9C" w:rsidP="00F10D9C">
      <w:pPr>
        <w:spacing w:before="0" w:after="200" w:line="276" w:lineRule="auto"/>
        <w:rPr>
          <w:rFonts w:eastAsia="Calibri" w:cs="Arial"/>
          <w:sz w:val="18"/>
          <w:szCs w:val="18"/>
        </w:rPr>
      </w:pPr>
      <w:proofErr w:type="gramStart"/>
      <w:r w:rsidRPr="00F10D9C">
        <w:rPr>
          <w:rFonts w:eastAsia="Calibri" w:cs="Arial"/>
          <w:sz w:val="18"/>
          <w:szCs w:val="18"/>
        </w:rPr>
        <w:t>cc.</w:t>
      </w:r>
      <w:proofErr w:type="gramEnd"/>
      <w:r w:rsidRPr="00F10D9C">
        <w:rPr>
          <w:rFonts w:eastAsia="Calibri" w:cs="Arial"/>
          <w:sz w:val="18"/>
          <w:szCs w:val="18"/>
        </w:rPr>
        <w:t xml:space="preserve"> </w:t>
      </w:r>
    </w:p>
    <w:p w14:paraId="13013809" w14:textId="77777777"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Patient</w:t>
      </w:r>
    </w:p>
    <w:p w14:paraId="30CF6CD7" w14:textId="77777777" w:rsidR="00F10D9C" w:rsidRPr="00F10D9C" w:rsidRDefault="00F10D9C" w:rsidP="00F10D9C">
      <w:pPr>
        <w:spacing w:before="0" w:after="200" w:line="276" w:lineRule="auto"/>
        <w:rPr>
          <w:rFonts w:eastAsia="Calibri" w:cs="Arial"/>
          <w:sz w:val="18"/>
          <w:szCs w:val="18"/>
        </w:rPr>
      </w:pPr>
    </w:p>
    <w:p w14:paraId="208F3718" w14:textId="77777777" w:rsidR="00F10D9C" w:rsidRPr="00F10D9C" w:rsidRDefault="00F10D9C" w:rsidP="00F10D9C">
      <w:pPr>
        <w:spacing w:before="0" w:after="200" w:line="276" w:lineRule="auto"/>
        <w:rPr>
          <w:rFonts w:eastAsia="Calibri" w:cs="Arial"/>
          <w:sz w:val="18"/>
          <w:szCs w:val="18"/>
        </w:rPr>
      </w:pPr>
      <w:r w:rsidRPr="00F10D9C">
        <w:rPr>
          <w:rFonts w:eastAsia="Calibri" w:cs="Arial"/>
          <w:sz w:val="18"/>
          <w:szCs w:val="18"/>
        </w:rPr>
        <w:t xml:space="preserve">cc. Trained member of the MDM team or </w:t>
      </w:r>
      <w:proofErr w:type="gramStart"/>
      <w:r w:rsidRPr="00F10D9C">
        <w:rPr>
          <w:rFonts w:eastAsia="Calibri" w:cs="Arial"/>
          <w:sz w:val="18"/>
          <w:szCs w:val="18"/>
        </w:rPr>
        <w:t>Specialised</w:t>
      </w:r>
      <w:proofErr w:type="gramEnd"/>
      <w:r w:rsidRPr="00F10D9C">
        <w:rPr>
          <w:rFonts w:eastAsia="Calibri" w:cs="Arial"/>
          <w:sz w:val="18"/>
          <w:szCs w:val="18"/>
        </w:rPr>
        <w:t xml:space="preserve"> genetics centre</w:t>
      </w:r>
    </w:p>
    <w:p w14:paraId="31415608" w14:textId="77777777" w:rsidR="00F10D9C" w:rsidRPr="00F10D9C" w:rsidRDefault="00F10D9C" w:rsidP="00F10D9C">
      <w:pPr>
        <w:spacing w:before="0" w:after="200" w:line="276" w:lineRule="auto"/>
        <w:rPr>
          <w:rFonts w:eastAsia="Calibri" w:cs="Arial"/>
          <w:b/>
          <w:sz w:val="18"/>
          <w:szCs w:val="18"/>
        </w:rPr>
      </w:pPr>
      <w:proofErr w:type="gramStart"/>
      <w:r w:rsidRPr="00F10D9C">
        <w:rPr>
          <w:rFonts w:eastAsia="Calibri" w:cs="Arial"/>
          <w:sz w:val="18"/>
          <w:szCs w:val="18"/>
        </w:rPr>
        <w:t>via</w:t>
      </w:r>
      <w:proofErr w:type="gramEnd"/>
      <w:r w:rsidRPr="00F10D9C">
        <w:rPr>
          <w:rFonts w:eastAsia="Calibri" w:cs="Arial"/>
          <w:sz w:val="18"/>
          <w:szCs w:val="18"/>
        </w:rPr>
        <w:t xml:space="preserve"> email to avoid delay   </w:t>
      </w:r>
      <w:hyperlink r:id="rId19" w:history="1">
        <w:r w:rsidRPr="00F10D9C">
          <w:rPr>
            <w:rFonts w:eastAsia="Calibri" w:cs="Arial"/>
            <w:b/>
            <w:sz w:val="18"/>
            <w:szCs w:val="18"/>
          </w:rPr>
          <w:t>…………..@nhs.net</w:t>
        </w:r>
      </w:hyperlink>
    </w:p>
    <w:p w14:paraId="328E413B" w14:textId="77777777" w:rsidR="00F10D9C" w:rsidRPr="00F10D9C" w:rsidRDefault="00F10D9C" w:rsidP="00F10D9C">
      <w:pPr>
        <w:spacing w:before="0" w:after="200" w:line="276" w:lineRule="auto"/>
        <w:rPr>
          <w:rFonts w:ascii="Calibri" w:eastAsia="Calibri" w:hAnsi="Calibri"/>
          <w:b/>
          <w:szCs w:val="22"/>
          <w:lang w:eastAsia="en-US"/>
        </w:rPr>
      </w:pPr>
    </w:p>
    <w:p w14:paraId="5F4EB7B9" w14:textId="77777777" w:rsidR="00F10D9C" w:rsidRPr="00F10D9C" w:rsidRDefault="00F10D9C" w:rsidP="00120666">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Appendix 2</w:t>
      </w:r>
    </w:p>
    <w:p w14:paraId="7C2755C4" w14:textId="77777777" w:rsidR="00F10D9C" w:rsidRP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 xml:space="preserve">Timeline explained </w:t>
      </w:r>
    </w:p>
    <w:p w14:paraId="76580244" w14:textId="77777777" w:rsidR="00067FAF" w:rsidRPr="00067FAF" w:rsidRDefault="00067FAF" w:rsidP="00067FAF">
      <w:pPr>
        <w:spacing w:before="0" w:after="200" w:line="276" w:lineRule="auto"/>
        <w:rPr>
          <w:rFonts w:eastAsia="Calibri" w:cs="Arial"/>
          <w:b/>
          <w:szCs w:val="22"/>
          <w:lang w:eastAsia="en-US"/>
        </w:rPr>
      </w:pPr>
    </w:p>
    <w:p w14:paraId="3263315C" w14:textId="295BD541" w:rsidR="00F10D9C" w:rsidRPr="00F10D9C" w:rsidRDefault="00F10D9C" w:rsidP="00067FAF">
      <w:pPr>
        <w:spacing w:before="0" w:after="200" w:line="276" w:lineRule="auto"/>
        <w:rPr>
          <w:rFonts w:eastAsia="Calibri" w:cs="Arial"/>
          <w:b/>
          <w:szCs w:val="22"/>
          <w:lang w:eastAsia="en-US"/>
        </w:rPr>
      </w:pPr>
      <w:r w:rsidRPr="00F10D9C">
        <w:rPr>
          <w:rFonts w:eastAsia="Calibri" w:cs="Arial"/>
          <w:b/>
          <w:szCs w:val="22"/>
          <w:lang w:eastAsia="en-US"/>
        </w:rPr>
        <w:t xml:space="preserve">The testing pathway should be completed within 62 days from the date of diagnosis of CRC to the date of referral for genetic testing/mainstreamed testing </w:t>
      </w:r>
    </w:p>
    <w:p w14:paraId="5FB11BC3" w14:textId="150520BA" w:rsidR="00F10D9C" w:rsidRPr="00F10D9C" w:rsidRDefault="00F10D9C" w:rsidP="00F10D9C">
      <w:pPr>
        <w:spacing w:before="0" w:after="200" w:line="276" w:lineRule="auto"/>
        <w:rPr>
          <w:rFonts w:ascii="Calibri" w:eastAsia="Calibri" w:hAnsi="Calibri"/>
          <w:b/>
          <w:szCs w:val="22"/>
          <w:lang w:eastAsia="en-US"/>
        </w:rPr>
      </w:pPr>
      <w:r w:rsidRPr="00F10D9C">
        <w:rPr>
          <w:rFonts w:ascii="Calibri" w:eastAsia="Calibri" w:hAnsi="Calibri"/>
          <w:b/>
          <w:noProof/>
          <w:szCs w:val="22"/>
        </w:rPr>
        <w:drawing>
          <wp:inline distT="0" distB="0" distL="0" distR="0" wp14:anchorId="29F5A544" wp14:editId="5907A300">
            <wp:extent cx="6323064" cy="2527539"/>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3284" cy="2531624"/>
                    </a:xfrm>
                    <a:prstGeom prst="rect">
                      <a:avLst/>
                    </a:prstGeom>
                    <a:noFill/>
                  </pic:spPr>
                </pic:pic>
              </a:graphicData>
            </a:graphic>
          </wp:inline>
        </w:drawing>
      </w:r>
    </w:p>
    <w:p w14:paraId="2882EFC4" w14:textId="77777777" w:rsidR="00F10D9C" w:rsidRPr="00F10D9C" w:rsidRDefault="00F10D9C" w:rsidP="00F10D9C">
      <w:pPr>
        <w:numPr>
          <w:ilvl w:val="0"/>
          <w:numId w:val="23"/>
        </w:numPr>
        <w:spacing w:before="0" w:after="200" w:line="276" w:lineRule="auto"/>
        <w:contextualSpacing/>
        <w:rPr>
          <w:rFonts w:eastAsia="Calibri" w:cs="Arial"/>
          <w:szCs w:val="22"/>
          <w:lang w:eastAsia="en-US"/>
        </w:rPr>
      </w:pPr>
      <w:r w:rsidRPr="00F10D9C">
        <w:rPr>
          <w:rFonts w:eastAsia="Calibri" w:cs="Arial"/>
          <w:szCs w:val="22"/>
          <w:lang w:eastAsia="en-US"/>
        </w:rPr>
        <w:t>MMR IHC testing should be completed by the local pathology department within 7-10 days in the first available tumour sample available, such as endoscopic biopsy samples.</w:t>
      </w:r>
    </w:p>
    <w:p w14:paraId="42350992" w14:textId="77777777" w:rsidR="00F10D9C" w:rsidRPr="00F10D9C" w:rsidRDefault="00F10D9C" w:rsidP="00F10D9C">
      <w:pPr>
        <w:numPr>
          <w:ilvl w:val="0"/>
          <w:numId w:val="23"/>
        </w:numPr>
        <w:spacing w:before="0" w:after="200" w:line="276" w:lineRule="auto"/>
        <w:contextualSpacing/>
        <w:rPr>
          <w:rFonts w:eastAsia="Calibri" w:cs="Arial"/>
          <w:szCs w:val="22"/>
          <w:lang w:eastAsia="en-US"/>
        </w:rPr>
      </w:pPr>
      <w:r w:rsidRPr="00F10D9C">
        <w:rPr>
          <w:rFonts w:eastAsia="Calibri" w:cs="Arial"/>
          <w:szCs w:val="22"/>
          <w:lang w:eastAsia="en-US"/>
        </w:rPr>
        <w:t>If there is a loss of any of the 4 MMR proteins that doesn’t include MLH1, the patients should be referred for genetic testing and the clock will stop at this point. If this takes longer than 62 days, this should be discussed within the regional specialist team to identify possible solutions.</w:t>
      </w:r>
    </w:p>
    <w:p w14:paraId="07BCF7F0" w14:textId="77777777" w:rsidR="00F10D9C" w:rsidRPr="00F10D9C" w:rsidRDefault="00F10D9C" w:rsidP="00F10D9C">
      <w:pPr>
        <w:numPr>
          <w:ilvl w:val="0"/>
          <w:numId w:val="23"/>
        </w:numPr>
        <w:spacing w:before="0" w:after="200" w:line="276" w:lineRule="auto"/>
        <w:contextualSpacing/>
        <w:rPr>
          <w:rFonts w:eastAsia="Calibri" w:cs="Arial"/>
          <w:szCs w:val="22"/>
          <w:lang w:eastAsia="en-US"/>
        </w:rPr>
      </w:pPr>
      <w:r w:rsidRPr="00F10D9C">
        <w:rPr>
          <w:rFonts w:eastAsia="Calibri" w:cs="Arial"/>
          <w:szCs w:val="22"/>
          <w:lang w:eastAsia="en-US"/>
        </w:rPr>
        <w:t xml:space="preserve">If there is loss of MLH1, further tumour testing will be required and should be arranged by local CRC MDTs. This will be either </w:t>
      </w:r>
      <w:r w:rsidRPr="00F10D9C">
        <w:rPr>
          <w:rFonts w:eastAsia="Calibri" w:cs="Arial"/>
          <w:i/>
          <w:szCs w:val="22"/>
          <w:lang w:eastAsia="en-US"/>
        </w:rPr>
        <w:t>BRAF</w:t>
      </w:r>
      <w:r w:rsidRPr="00F10D9C">
        <w:rPr>
          <w:rFonts w:eastAsia="Calibri" w:cs="Arial"/>
          <w:szCs w:val="22"/>
          <w:lang w:eastAsia="en-US"/>
        </w:rPr>
        <w:t xml:space="preserve"> or MLH1 promoter Hypermethylation test. Either of these tests should be completed within 4-6 weeks to meet the 62 day target. If this pathway (from diagnosis to referral to genetic testing) takes longer than 62 days, this should be discussed within the team to find possible solutions. </w:t>
      </w:r>
    </w:p>
    <w:p w14:paraId="77807A1E" w14:textId="77777777" w:rsidR="00F10D9C" w:rsidRPr="00F10D9C" w:rsidRDefault="00F10D9C" w:rsidP="00F10D9C">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 It’s recommended that each MDT perform regular audits to assess compliance with the 62 days Lynch syndrome early diagnosis pathway.</w:t>
      </w:r>
    </w:p>
    <w:p w14:paraId="43C1752E" w14:textId="57E8F5BD" w:rsidR="00142C3E" w:rsidRPr="00142C3E" w:rsidRDefault="00142C3E" w:rsidP="00F10D9C">
      <w:pPr>
        <w:spacing w:before="0" w:after="0"/>
      </w:pPr>
    </w:p>
    <w:sectPr w:rsidR="00142C3E" w:rsidRPr="00142C3E" w:rsidSect="00120666">
      <w:headerReference w:type="default" r:id="rId20"/>
      <w:footerReference w:type="default" r:id="rId21"/>
      <w:headerReference w:type="first" r:id="rId22"/>
      <w:pgSz w:w="11906" w:h="16838" w:code="9"/>
      <w:pgMar w:top="1418" w:right="851" w:bottom="1418" w:left="851"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87BF" w14:textId="77777777" w:rsidR="0038088A" w:rsidRDefault="0038088A">
      <w:r>
        <w:separator/>
      </w:r>
    </w:p>
  </w:endnote>
  <w:endnote w:type="continuationSeparator" w:id="0">
    <w:p w14:paraId="1EDD1341" w14:textId="77777777" w:rsidR="0038088A" w:rsidRDefault="0038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BC3B" w14:textId="16EF648E" w:rsidR="00B76FB8" w:rsidRDefault="00F10D9C" w:rsidP="00D00776">
    <w:pPr>
      <w:pStyle w:val="Footer"/>
    </w:pPr>
    <w:r w:rsidRPr="00F10D9C">
      <w:rPr>
        <w:rFonts w:cstheme="minorHAnsi"/>
        <w:szCs w:val="16"/>
      </w:rPr>
      <w:t>Lynch Syndrome early diagnosis pathway _Version 1.</w:t>
    </w:r>
    <w:r w:rsidR="00795882">
      <w:rPr>
        <w:rFonts w:cstheme="minorHAnsi"/>
        <w:szCs w:val="16"/>
      </w:rPr>
      <w:t>5_15</w:t>
    </w:r>
    <w:r w:rsidRPr="00F10D9C">
      <w:rPr>
        <w:rFonts w:cstheme="minorHAnsi"/>
        <w:szCs w:val="16"/>
      </w:rPr>
      <w:t>.03.2021</w:t>
    </w:r>
    <w:r>
      <w:rPr>
        <w:rFonts w:cstheme="minorHAnsi"/>
        <w:szCs w:val="16"/>
      </w:rPr>
      <w:t xml:space="preserve"> </w:t>
    </w:r>
    <w:r w:rsidR="00D00776">
      <w:rPr>
        <w:rFonts w:cstheme="minorHAnsi"/>
        <w:szCs w:val="16"/>
      </w:rPr>
      <w:t xml:space="preserve">           Next Review day March2022</w:t>
    </w:r>
    <w:r>
      <w:rPr>
        <w:rFonts w:cstheme="minorHAnsi"/>
        <w:szCs w:val="16"/>
      </w:rPr>
      <w:tab/>
    </w:r>
    <w:r>
      <w:rPr>
        <w:rFonts w:cstheme="minorHAnsi"/>
        <w:szCs w:val="16"/>
      </w:rPr>
      <w:tab/>
    </w:r>
    <w:r>
      <w:rPr>
        <w:rFonts w:cstheme="minorHAnsi"/>
        <w:szCs w:val="16"/>
      </w:rPr>
      <w:tab/>
      <w:t xml:space="preserve">     </w:t>
    </w:r>
    <w:r w:rsidR="00E13F6E">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D00776">
      <w:rPr>
        <w:rStyle w:val="PageNumber"/>
        <w:noProof/>
      </w:rPr>
      <w:t>2</w:t>
    </w:r>
    <w:r w:rsidR="001E4131" w:rsidRPr="00B76FB8">
      <w:rPr>
        <w:rStyle w:val="PageNumber"/>
      </w:rPr>
      <w:fldChar w:fldCharType="end"/>
    </w:r>
    <w:r w:rsidR="00CF7B55">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16EA" w14:textId="77777777" w:rsidR="0038088A" w:rsidRDefault="0038088A">
      <w:r>
        <w:separator/>
      </w:r>
    </w:p>
  </w:footnote>
  <w:footnote w:type="continuationSeparator" w:id="0">
    <w:p w14:paraId="5479B976" w14:textId="77777777" w:rsidR="0038088A" w:rsidRDefault="0038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7A11" w14:textId="77777777" w:rsidR="008F656D" w:rsidRDefault="006F779E">
    <w:pPr>
      <w:pStyle w:val="Header"/>
    </w:pPr>
    <w:r>
      <w:rPr>
        <w:noProof/>
      </w:rPr>
      <w:fldChar w:fldCharType="begin"/>
    </w:r>
    <w:r>
      <w:rPr>
        <w:noProof/>
      </w:rPr>
      <w:instrText xml:space="preserve"> STYLEREF "Heading 1" \* MERGEFORMAT </w:instrText>
    </w:r>
    <w:r>
      <w:rPr>
        <w:noProof/>
      </w:rPr>
      <w:fldChar w:fldCharType="separate"/>
    </w:r>
    <w:r w:rsidR="00D00776">
      <w:rPr>
        <w:noProof/>
      </w:rPr>
      <w:t>Standard Operating Procedure (SOP)</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F7D8" w14:textId="785776CA" w:rsidR="008554CD" w:rsidRDefault="00D50928" w:rsidP="001B2DAB">
    <w:pPr>
      <w:pStyle w:val="Header"/>
    </w:pPr>
    <w:r>
      <w:rPr>
        <w:noProof/>
      </w:rPr>
      <w:drawing>
        <wp:anchor distT="0" distB="0" distL="114300" distR="114300" simplePos="0" relativeHeight="251657216" behindDoc="0" locked="0" layoutInCell="1" allowOverlap="1" wp14:anchorId="2B740176" wp14:editId="0708D857">
          <wp:simplePos x="0" y="0"/>
          <wp:positionH relativeFrom="column">
            <wp:posOffset>3581238</wp:posOffset>
          </wp:positionH>
          <wp:positionV relativeFrom="paragraph">
            <wp:posOffset>-39370</wp:posOffset>
          </wp:positionV>
          <wp:extent cx="2923540" cy="979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3282" t="38877" r="6703" b="44340"/>
                  <a:stretch/>
                </pic:blipFill>
                <pic:spPr bwMode="auto">
                  <a:xfrm>
                    <a:off x="0" y="0"/>
                    <a:ext cx="2923540"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F6E">
      <w:rPr>
        <w:noProof/>
      </w:rPr>
      <w:drawing>
        <wp:anchor distT="0" distB="0" distL="114300" distR="114300" simplePos="0" relativeHeight="251658240" behindDoc="0" locked="0" layoutInCell="1" allowOverlap="1" wp14:anchorId="649F2572" wp14:editId="79603AB3">
          <wp:simplePos x="0" y="0"/>
          <wp:positionH relativeFrom="column">
            <wp:posOffset>3175</wp:posOffset>
          </wp:positionH>
          <wp:positionV relativeFrom="paragraph">
            <wp:posOffset>0</wp:posOffset>
          </wp:positionV>
          <wp:extent cx="2334260" cy="1084580"/>
          <wp:effectExtent l="0" t="0" r="2540" b="762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2">
                    <a:extLst>
                      <a:ext uri="{28A0092B-C50C-407E-A947-70E740481C1C}">
                        <a14:useLocalDpi xmlns:a14="http://schemas.microsoft.com/office/drawing/2010/main" val="0"/>
                      </a:ext>
                    </a:extLst>
                  </a:blip>
                  <a:stretch>
                    <a:fillRect/>
                  </a:stretch>
                </pic:blipFill>
                <pic:spPr>
                  <a:xfrm>
                    <a:off x="0" y="0"/>
                    <a:ext cx="2334260"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B876A2"/>
    <w:lvl w:ilvl="0">
      <w:start w:val="1"/>
      <w:numFmt w:val="decimal"/>
      <w:lvlText w:val="%1."/>
      <w:lvlJc w:val="left"/>
      <w:pPr>
        <w:tabs>
          <w:tab w:val="num" w:pos="1492"/>
        </w:tabs>
        <w:ind w:left="1492" w:hanging="360"/>
      </w:pPr>
    </w:lvl>
  </w:abstractNum>
  <w:abstractNum w:abstractNumId="2">
    <w:nsid w:val="FFFFFF7D"/>
    <w:multiLevelType w:val="singleLevel"/>
    <w:tmpl w:val="AADA0614"/>
    <w:lvl w:ilvl="0">
      <w:start w:val="1"/>
      <w:numFmt w:val="decimal"/>
      <w:lvlText w:val="%1."/>
      <w:lvlJc w:val="left"/>
      <w:pPr>
        <w:tabs>
          <w:tab w:val="num" w:pos="1209"/>
        </w:tabs>
        <w:ind w:left="1209" w:hanging="360"/>
      </w:pPr>
    </w:lvl>
  </w:abstractNum>
  <w:abstractNum w:abstractNumId="3">
    <w:nsid w:val="FFFFFF7E"/>
    <w:multiLevelType w:val="singleLevel"/>
    <w:tmpl w:val="9434F732"/>
    <w:lvl w:ilvl="0">
      <w:start w:val="1"/>
      <w:numFmt w:val="decimal"/>
      <w:lvlText w:val="%1."/>
      <w:lvlJc w:val="left"/>
      <w:pPr>
        <w:tabs>
          <w:tab w:val="num" w:pos="926"/>
        </w:tabs>
        <w:ind w:left="926" w:hanging="360"/>
      </w:pPr>
    </w:lvl>
  </w:abstractNum>
  <w:abstractNum w:abstractNumId="4">
    <w:nsid w:val="FFFFFF7F"/>
    <w:multiLevelType w:val="singleLevel"/>
    <w:tmpl w:val="BECC1E34"/>
    <w:lvl w:ilvl="0">
      <w:start w:val="1"/>
      <w:numFmt w:val="decimal"/>
      <w:lvlText w:val="%1."/>
      <w:lvlJc w:val="left"/>
      <w:pPr>
        <w:tabs>
          <w:tab w:val="num" w:pos="643"/>
        </w:tabs>
        <w:ind w:left="643" w:hanging="360"/>
      </w:pPr>
    </w:lvl>
  </w:abstractNum>
  <w:abstractNum w:abstractNumId="5">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E82736E"/>
    <w:lvl w:ilvl="0">
      <w:start w:val="1"/>
      <w:numFmt w:val="decimal"/>
      <w:lvlText w:val="%1."/>
      <w:lvlJc w:val="left"/>
      <w:pPr>
        <w:tabs>
          <w:tab w:val="num" w:pos="360"/>
        </w:tabs>
        <w:ind w:left="360" w:hanging="360"/>
      </w:pPr>
    </w:lvl>
  </w:abstractNum>
  <w:abstractNum w:abstractNumId="1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5D4362"/>
    <w:multiLevelType w:val="hybridMultilevel"/>
    <w:tmpl w:val="463AB1C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1B">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08141059"/>
    <w:multiLevelType w:val="multilevel"/>
    <w:tmpl w:val="2F0418E2"/>
    <w:numStyleLink w:val="StyleBulleted"/>
  </w:abstractNum>
  <w:abstractNum w:abstractNumId="13">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4">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7">
    <w:nsid w:val="18F76498"/>
    <w:multiLevelType w:val="hybridMultilevel"/>
    <w:tmpl w:val="EDAA2A26"/>
    <w:lvl w:ilvl="0" w:tplc="7DBC1200">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8D7040"/>
    <w:multiLevelType w:val="hybridMultilevel"/>
    <w:tmpl w:val="DF7C14F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5266292"/>
    <w:multiLevelType w:val="hybridMultilevel"/>
    <w:tmpl w:val="A1B64CC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B535F1"/>
    <w:multiLevelType w:val="multilevel"/>
    <w:tmpl w:val="2F0418E2"/>
    <w:numStyleLink w:val="StyleBulleted"/>
  </w:abstractNum>
  <w:abstractNum w:abstractNumId="22">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063E17"/>
    <w:multiLevelType w:val="hybridMultilevel"/>
    <w:tmpl w:val="7A14AED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116CC4"/>
    <w:multiLevelType w:val="hybridMultilevel"/>
    <w:tmpl w:val="6222363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7D0C85"/>
    <w:multiLevelType w:val="multilevel"/>
    <w:tmpl w:val="2F0418E2"/>
    <w:numStyleLink w:val="StyleBulleted"/>
  </w:abstractNum>
  <w:abstractNum w:abstractNumId="28">
    <w:nsid w:val="5A065A04"/>
    <w:multiLevelType w:val="hybridMultilevel"/>
    <w:tmpl w:val="0B1215FA"/>
    <w:lvl w:ilvl="0" w:tplc="08090001">
      <w:start w:val="1"/>
      <w:numFmt w:val="bullet"/>
      <w:lvlText w:val=""/>
      <w:lvlJc w:val="left"/>
      <w:pPr>
        <w:ind w:left="-66" w:hanging="360"/>
      </w:pPr>
      <w:rPr>
        <w:rFonts w:ascii="Symbol" w:hAnsi="Symbo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9">
    <w:nsid w:val="5D3C0245"/>
    <w:multiLevelType w:val="multilevel"/>
    <w:tmpl w:val="72A221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6B400D"/>
    <w:multiLevelType w:val="hybridMultilevel"/>
    <w:tmpl w:val="E420645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3C0D6A"/>
    <w:multiLevelType w:val="multilevel"/>
    <w:tmpl w:val="2F0418E2"/>
    <w:numStyleLink w:val="StyleBulleted"/>
  </w:abstractNum>
  <w:abstractNum w:abstractNumId="34">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2"/>
  </w:num>
  <w:num w:numId="4">
    <w:abstractNumId w:val="15"/>
  </w:num>
  <w:num w:numId="5">
    <w:abstractNumId w:val="34"/>
  </w:num>
  <w:num w:numId="6">
    <w:abstractNumId w:val="13"/>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23"/>
  </w:num>
  <w:num w:numId="21">
    <w:abstractNumId w:val="32"/>
  </w:num>
  <w:num w:numId="22">
    <w:abstractNumId w:val="18"/>
  </w:num>
  <w:num w:numId="23">
    <w:abstractNumId w:val="27"/>
  </w:num>
  <w:num w:numId="24">
    <w:abstractNumId w:val="19"/>
  </w:num>
  <w:num w:numId="25">
    <w:abstractNumId w:val="17"/>
  </w:num>
  <w:num w:numId="26">
    <w:abstractNumId w:val="29"/>
  </w:num>
  <w:num w:numId="27">
    <w:abstractNumId w:val="11"/>
  </w:num>
  <w:num w:numId="28">
    <w:abstractNumId w:val="28"/>
  </w:num>
  <w:num w:numId="29">
    <w:abstractNumId w:val="20"/>
  </w:num>
  <w:num w:numId="30">
    <w:abstractNumId w:val="25"/>
  </w:num>
  <w:num w:numId="31">
    <w:abstractNumId w:val="24"/>
  </w:num>
  <w:num w:numId="32">
    <w:abstractNumId w:val="30"/>
  </w:num>
  <w:num w:numId="33">
    <w:abstractNumId w:val="33"/>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5"/>
    <w:rsid w:val="00023589"/>
    <w:rsid w:val="00067370"/>
    <w:rsid w:val="00067FAF"/>
    <w:rsid w:val="0009568B"/>
    <w:rsid w:val="000B128D"/>
    <w:rsid w:val="00120666"/>
    <w:rsid w:val="00142C3E"/>
    <w:rsid w:val="001E4131"/>
    <w:rsid w:val="00251F92"/>
    <w:rsid w:val="0029420D"/>
    <w:rsid w:val="0035441B"/>
    <w:rsid w:val="0038088A"/>
    <w:rsid w:val="00433953"/>
    <w:rsid w:val="00437B8E"/>
    <w:rsid w:val="004574A2"/>
    <w:rsid w:val="004720DC"/>
    <w:rsid w:val="004C4E9C"/>
    <w:rsid w:val="00535C8A"/>
    <w:rsid w:val="006008C4"/>
    <w:rsid w:val="00654D3E"/>
    <w:rsid w:val="006D4367"/>
    <w:rsid w:val="006F3771"/>
    <w:rsid w:val="006F779E"/>
    <w:rsid w:val="0071785C"/>
    <w:rsid w:val="00795882"/>
    <w:rsid w:val="00874D63"/>
    <w:rsid w:val="008925DF"/>
    <w:rsid w:val="008A25DD"/>
    <w:rsid w:val="008C17E0"/>
    <w:rsid w:val="008D0BEB"/>
    <w:rsid w:val="0097570A"/>
    <w:rsid w:val="009C1C63"/>
    <w:rsid w:val="00A54B07"/>
    <w:rsid w:val="00AF402F"/>
    <w:rsid w:val="00B00E1C"/>
    <w:rsid w:val="00B26DD2"/>
    <w:rsid w:val="00B26F72"/>
    <w:rsid w:val="00B30B58"/>
    <w:rsid w:val="00B616B0"/>
    <w:rsid w:val="00B81D6D"/>
    <w:rsid w:val="00B97131"/>
    <w:rsid w:val="00CD6B19"/>
    <w:rsid w:val="00CF7B55"/>
    <w:rsid w:val="00D00776"/>
    <w:rsid w:val="00D00E81"/>
    <w:rsid w:val="00D0507A"/>
    <w:rsid w:val="00D50928"/>
    <w:rsid w:val="00E13F6E"/>
    <w:rsid w:val="00EC6478"/>
    <w:rsid w:val="00F0029E"/>
    <w:rsid w:val="00F10D9C"/>
    <w:rsid w:val="00F412C9"/>
    <w:rsid w:val="00F6280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ngtermplan.nhs.uk/" TargetMode="External"/><Relationship Id="rId18" Type="http://schemas.openxmlformats.org/officeDocument/2006/relationships/hyperlink" Target="mailto:LNWH-tr.SMFCC@nhs.ne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20dg27" TargetMode="External"/><Relationship Id="rId17" Type="http://schemas.openxmlformats.org/officeDocument/2006/relationships/hyperlink" Target="https://rmpartners.nhs.uk/lynch-syndrome/patient-information" TargetMode="External"/><Relationship Id="rId2" Type="http://schemas.openxmlformats.org/officeDocument/2006/relationships/styles" Target="styles.xml"/><Relationship Id="rId16" Type="http://schemas.openxmlformats.org/officeDocument/2006/relationships/hyperlink" Target="https://rmpartners.nhs.uk/lynch-syndrome/supporting-docum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NWH-tr.SMFCC@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partners.nhs.uk/lynch-syndrome-early-diagnosis-pathwa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LNWH-tr.SMFCC@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mpartners.nhs.uk/lynch-syndrom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12417</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creator>RM Partners</dc:creator>
  <cp:lastModifiedBy>Laura Monje-Garcia</cp:lastModifiedBy>
  <cp:revision>3</cp:revision>
  <cp:lastPrinted>2012-08-02T14:45:00Z</cp:lastPrinted>
  <dcterms:created xsi:type="dcterms:W3CDTF">2021-03-15T13:59:00Z</dcterms:created>
  <dcterms:modified xsi:type="dcterms:W3CDTF">2021-03-15T14:00:00Z</dcterms:modified>
</cp:coreProperties>
</file>