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37B76" w14:textId="77777777" w:rsidR="00560790" w:rsidRPr="00560790" w:rsidRDefault="00560790" w:rsidP="00560790">
      <w:pPr>
        <w:pStyle w:val="Heading1"/>
      </w:pPr>
      <w:bookmarkStart w:id="0" w:name="_GoBack"/>
      <w:bookmarkEnd w:id="0"/>
      <w:r>
        <w:t xml:space="preserve">SACT Prescription Verification Multiple Choice Question </w:t>
      </w:r>
      <w:r w:rsidRPr="00560790">
        <w:t>(MCQ) Test</w:t>
      </w:r>
    </w:p>
    <w:p w14:paraId="3C946138" w14:textId="77777777" w:rsidR="00560790" w:rsidRPr="00560790" w:rsidRDefault="00560790" w:rsidP="00656E0D">
      <w:pPr>
        <w:spacing w:before="240" w:after="240"/>
        <w:rPr>
          <w:b/>
        </w:rPr>
      </w:pPr>
      <w:r w:rsidRPr="00560790">
        <w:rPr>
          <w:b/>
        </w:rPr>
        <w:t>This is an open book test – you can have access to all the necessary resources available in your department. This may include local trust intranet systems and policies, national and regional guidelines from bodies such as NHSE, NICE, NPSA, etc. It must be completed independently.</w:t>
      </w:r>
    </w:p>
    <w:p w14:paraId="236264DB" w14:textId="34FBE3F8" w:rsidR="00560790" w:rsidRPr="00560790" w:rsidRDefault="00560790" w:rsidP="00656E0D">
      <w:pPr>
        <w:spacing w:before="240" w:after="240"/>
        <w:rPr>
          <w:b/>
        </w:rPr>
      </w:pPr>
      <w:r w:rsidRPr="00560790">
        <w:rPr>
          <w:b/>
        </w:rPr>
        <w:t>You will have a maximum of 1 hour to complete this test</w:t>
      </w:r>
      <w:r w:rsidR="00ED690C">
        <w:rPr>
          <w:b/>
        </w:rPr>
        <w:t>.</w:t>
      </w:r>
      <w:r w:rsidRPr="00560790">
        <w:rPr>
          <w:b/>
        </w:rPr>
        <w:t xml:space="preserve"> </w:t>
      </w:r>
    </w:p>
    <w:p w14:paraId="10C3F24A" w14:textId="5C823375" w:rsidR="00560790" w:rsidRPr="00560790" w:rsidRDefault="00560790" w:rsidP="00656E0D">
      <w:pPr>
        <w:spacing w:before="240" w:after="240"/>
        <w:rPr>
          <w:b/>
        </w:rPr>
      </w:pPr>
      <w:r w:rsidRPr="00560790">
        <w:rPr>
          <w:b/>
        </w:rPr>
        <w:t xml:space="preserve">Please complete </w:t>
      </w:r>
      <w:r w:rsidR="00561168">
        <w:rPr>
          <w:b/>
        </w:rPr>
        <w:t>S</w:t>
      </w:r>
      <w:r w:rsidRPr="00560790">
        <w:rPr>
          <w:b/>
        </w:rPr>
        <w:t>ection A and Section B</w:t>
      </w:r>
      <w:r w:rsidR="00AE7357">
        <w:rPr>
          <w:b/>
        </w:rPr>
        <w:t>.</w:t>
      </w:r>
      <w:r w:rsidR="00561800">
        <w:rPr>
          <w:b/>
        </w:rPr>
        <w:t xml:space="preserve"> In Section B, please complete 2 out of the 3 case studies.</w:t>
      </w:r>
    </w:p>
    <w:p w14:paraId="4832B45C" w14:textId="77777777" w:rsidR="00560790" w:rsidRDefault="00560790" w:rsidP="00560790">
      <w:pPr>
        <w:pStyle w:val="Heading2"/>
      </w:pPr>
      <w:r>
        <w:t>Section A</w:t>
      </w:r>
    </w:p>
    <w:p w14:paraId="5C3DFF18" w14:textId="4212F9A4" w:rsidR="00560790" w:rsidRPr="00656E0D" w:rsidRDefault="00560790" w:rsidP="00656E0D">
      <w:pPr>
        <w:rPr>
          <w:b/>
          <w:bCs/>
        </w:rPr>
      </w:pPr>
      <w:r w:rsidRPr="00656E0D">
        <w:rPr>
          <w:b/>
          <w:bCs/>
        </w:rPr>
        <w:t>Select one answer only from the following</w:t>
      </w:r>
      <w:r w:rsidR="005131C5">
        <w:rPr>
          <w:b/>
          <w:bCs/>
        </w:rPr>
        <w:t xml:space="preserve"> (except question 10)</w:t>
      </w:r>
      <w:r w:rsidRPr="00656E0D">
        <w:rPr>
          <w:b/>
          <w:bCs/>
        </w:rPr>
        <w:t>.</w:t>
      </w:r>
    </w:p>
    <w:p w14:paraId="5170151C" w14:textId="72D8A1FC" w:rsidR="00560790" w:rsidRDefault="00560790" w:rsidP="00865414">
      <w:pPr>
        <w:pStyle w:val="SecAQ"/>
      </w:pPr>
      <w:r>
        <w:t xml:space="preserve">The NPSA Rapid Response Report </w:t>
      </w:r>
      <w:r w:rsidRPr="00184726">
        <w:rPr>
          <w:i/>
          <w:iCs/>
        </w:rPr>
        <w:t>Risks of incorrect dosing of oral anti-cancer medicines</w:t>
      </w:r>
      <w:r>
        <w:t xml:space="preserve"> (Jan 2008) </w:t>
      </w:r>
      <w:r w:rsidRPr="00BD2A4D">
        <w:t>makes</w:t>
      </w:r>
      <w:r>
        <w:t xml:space="preserve"> the following recommendations for reducing the risk of dosing errors with oral anti-cancer medicines:</w:t>
      </w:r>
    </w:p>
    <w:p w14:paraId="2AEA77A7" w14:textId="2EF46C67" w:rsidR="00560790" w:rsidRPr="00722994" w:rsidRDefault="00F03AFD" w:rsidP="00F03AFD">
      <w:pPr>
        <w:pStyle w:val="Answers"/>
      </w:pPr>
      <w:r>
        <w:fldChar w:fldCharType="begin">
          <w:ffData>
            <w:name w:val="Check1"/>
            <w:enabled/>
            <w:calcOnExit w:val="0"/>
            <w:checkBox>
              <w:sizeAuto/>
              <w:default w:val="0"/>
            </w:checkBox>
          </w:ffData>
        </w:fldChar>
      </w:r>
      <w:bookmarkStart w:id="1" w:name="Check1"/>
      <w:r>
        <w:instrText xml:space="preserve"> FORMCHECKBOX </w:instrText>
      </w:r>
      <w:r w:rsidR="006076ED">
        <w:fldChar w:fldCharType="separate"/>
      </w:r>
      <w:r>
        <w:fldChar w:fldCharType="end"/>
      </w:r>
      <w:bookmarkEnd w:id="1"/>
      <w:r>
        <w:t xml:space="preserve">   a) </w:t>
      </w:r>
      <w:r w:rsidR="00560790" w:rsidRPr="00722994">
        <w:t>Oral anti-cancer medicines should be prescribed in the context of written protocols and treatment plans</w:t>
      </w:r>
    </w:p>
    <w:p w14:paraId="7E7D93B7" w14:textId="72845BB6"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722994">
        <w:t>Treatment should be initiated by a cancer specialist</w:t>
      </w:r>
    </w:p>
    <w:p w14:paraId="3550468A" w14:textId="1DF08393"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722994">
        <w:t>Patient should receive both written and verbal instructions and be fully informed about their oral anti-cancer therapy</w:t>
      </w:r>
    </w:p>
    <w:p w14:paraId="7E06FD58" w14:textId="349D9F2E"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722994">
        <w:t>All of the above</w:t>
      </w:r>
    </w:p>
    <w:p w14:paraId="55C15CF4" w14:textId="2EC67521"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722994">
        <w:t>None of the above</w:t>
      </w:r>
    </w:p>
    <w:p w14:paraId="7617D248" w14:textId="2A674CA9" w:rsidR="00560790" w:rsidRDefault="00560790" w:rsidP="00865414">
      <w:pPr>
        <w:pStyle w:val="SecAQ"/>
      </w:pPr>
      <w:r>
        <w:t xml:space="preserve">Which one of the following formulae is commonly used to calculate the BSA for adult patients receiving </w:t>
      </w:r>
      <w:r w:rsidRPr="00BD2A4D">
        <w:t>chemotherapy</w:t>
      </w:r>
      <w:r>
        <w:t>?</w:t>
      </w:r>
    </w:p>
    <w:p w14:paraId="0AEB059A" w14:textId="320E6F10"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722994">
        <w:t>Calvert</w:t>
      </w:r>
    </w:p>
    <w:p w14:paraId="754298B8" w14:textId="4E0E5C46"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722994">
        <w:t>Cockroft</w:t>
      </w:r>
    </w:p>
    <w:p w14:paraId="16E9B864" w14:textId="2FF696A3"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722994">
        <w:t>Dubois</w:t>
      </w:r>
    </w:p>
    <w:p w14:paraId="1F539D63" w14:textId="0BE911E8"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722994">
        <w:t>Jelliffe</w:t>
      </w:r>
    </w:p>
    <w:p w14:paraId="63715C8A" w14:textId="67D4AE5F" w:rsidR="00F41C59" w:rsidRPr="00F41C59" w:rsidRDefault="00F03AFD" w:rsidP="00F41C59">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722994">
        <w:t>Wright</w:t>
      </w:r>
    </w:p>
    <w:p w14:paraId="01966422" w14:textId="78C523A1" w:rsidR="00560790" w:rsidRDefault="00560790" w:rsidP="00865414">
      <w:pPr>
        <w:pStyle w:val="SecAQ"/>
      </w:pPr>
      <w:r>
        <w:t>Which of the following combination of tests should be routinely checked by an oncology pharmacist when verifying chemotherapy prescriptions?</w:t>
      </w:r>
    </w:p>
    <w:p w14:paraId="018C0D06" w14:textId="2C578A7D"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722994">
        <w:t xml:space="preserve">FBC, LFT </w:t>
      </w:r>
    </w:p>
    <w:p w14:paraId="74DC5A26" w14:textId="2B926CF3"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722994">
        <w:t>FBC, tumour markers, biomarkers</w:t>
      </w:r>
    </w:p>
    <w:p w14:paraId="447B4745" w14:textId="0173623B"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722994">
        <w:t>FBC, LFT, renal profile</w:t>
      </w:r>
    </w:p>
    <w:p w14:paraId="4869FD1B" w14:textId="1B2E9B9B" w:rsidR="00560790" w:rsidRPr="00722994" w:rsidRDefault="00F03AFD" w:rsidP="00F03AFD">
      <w:pPr>
        <w:pStyle w:val="Answers"/>
      </w:pPr>
      <w:r>
        <w:lastRenderedPageBreak/>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722994">
        <w:t>FBC, bone profile, coagulation screen</w:t>
      </w:r>
    </w:p>
    <w:p w14:paraId="4E843C48" w14:textId="45696539"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722994">
        <w:t>LFT, renal profile</w:t>
      </w:r>
    </w:p>
    <w:p w14:paraId="42096A60" w14:textId="36633C7C" w:rsidR="00560790" w:rsidRDefault="00560790" w:rsidP="00865414">
      <w:pPr>
        <w:pStyle w:val="SecAQ"/>
      </w:pPr>
      <w:r>
        <w:t xml:space="preserve">Which of the following combination of results before chemotherapy would indicate that chemotherapy can be </w:t>
      </w:r>
      <w:r w:rsidRPr="00BD2A4D">
        <w:t>administered</w:t>
      </w:r>
      <w:r>
        <w:t xml:space="preserve"> to a patient without further tests, dose reductions or delays?</w:t>
      </w:r>
    </w:p>
    <w:p w14:paraId="7E42C501" w14:textId="351E5C16"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722994">
        <w:t>ANC</w:t>
      </w:r>
      <w:r w:rsidR="005F523F" w:rsidRPr="00722994">
        <w:t xml:space="preserve"> </w:t>
      </w:r>
      <w:r w:rsidR="00560790" w:rsidRPr="00722994">
        <w:t>4.0x10</w:t>
      </w:r>
      <w:r w:rsidR="00560790" w:rsidRPr="00397379">
        <w:rPr>
          <w:vertAlign w:val="superscript"/>
        </w:rPr>
        <w:t>9</w:t>
      </w:r>
      <w:r w:rsidR="00560790" w:rsidRPr="00722994">
        <w:t>/L; platelets 65 x10</w:t>
      </w:r>
      <w:r w:rsidR="00560790" w:rsidRPr="00397379">
        <w:rPr>
          <w:vertAlign w:val="superscript"/>
        </w:rPr>
        <w:t>9</w:t>
      </w:r>
      <w:r w:rsidR="00560790" w:rsidRPr="00722994">
        <w:t>/L; bilirubin 18µmol/L; AST 20iu/L;</w:t>
      </w:r>
    </w:p>
    <w:p w14:paraId="628CB94A" w14:textId="394C3D3F"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722994">
        <w:t>ANC 3.3 x x10</w:t>
      </w:r>
      <w:r w:rsidR="00560790" w:rsidRPr="00397379">
        <w:rPr>
          <w:vertAlign w:val="superscript"/>
        </w:rPr>
        <w:t>9</w:t>
      </w:r>
      <w:r w:rsidR="00560790" w:rsidRPr="00722994">
        <w:t>/L; platelets 300 x10</w:t>
      </w:r>
      <w:r w:rsidR="00560790" w:rsidRPr="00397379">
        <w:rPr>
          <w:vertAlign w:val="superscript"/>
        </w:rPr>
        <w:t>9</w:t>
      </w:r>
      <w:r w:rsidR="00560790" w:rsidRPr="00722994">
        <w:t>/L; Hb 6.5g/L; GFR 55mL/min;</w:t>
      </w:r>
    </w:p>
    <w:p w14:paraId="4BAD2486" w14:textId="01E6EBCE"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722994">
        <w:t>ANC 0.8 x x10</w:t>
      </w:r>
      <w:r w:rsidR="00560790" w:rsidRPr="00397379">
        <w:rPr>
          <w:vertAlign w:val="superscript"/>
        </w:rPr>
        <w:t>9</w:t>
      </w:r>
      <w:r w:rsidR="00560790" w:rsidRPr="00722994">
        <w:t>/L; platelets 100 x10</w:t>
      </w:r>
      <w:r w:rsidR="00560790" w:rsidRPr="00397379">
        <w:rPr>
          <w:vertAlign w:val="superscript"/>
        </w:rPr>
        <w:t>9</w:t>
      </w:r>
      <w:r w:rsidR="00560790" w:rsidRPr="00722994">
        <w:t>/L; Sr creatinine 160µmol/L; bilirubin 25µmol/L</w:t>
      </w:r>
    </w:p>
    <w:p w14:paraId="4C5EFDF3" w14:textId="1732F902"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722994">
        <w:t>ANC 1.7x x10</w:t>
      </w:r>
      <w:r w:rsidR="00560790" w:rsidRPr="00397379">
        <w:rPr>
          <w:vertAlign w:val="superscript"/>
        </w:rPr>
        <w:t>9</w:t>
      </w:r>
      <w:r w:rsidR="00560790" w:rsidRPr="00722994">
        <w:t>/L; platelets 225 x10</w:t>
      </w:r>
      <w:r w:rsidR="00560790" w:rsidRPr="00397379">
        <w:rPr>
          <w:vertAlign w:val="superscript"/>
        </w:rPr>
        <w:t>9</w:t>
      </w:r>
      <w:r w:rsidR="00560790" w:rsidRPr="00722994">
        <w:t>/L</w:t>
      </w:r>
      <w:r w:rsidR="00656628">
        <w:t>; GFR 80 mL/min; AST 25 iu/L; bi</w:t>
      </w:r>
      <w:r w:rsidR="00560790" w:rsidRPr="00722994">
        <w:t>lirubin 12 µmol/L</w:t>
      </w:r>
    </w:p>
    <w:p w14:paraId="734121E0" w14:textId="6330B983" w:rsidR="00560790"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722994">
        <w:t>ANC 1.2 x x10</w:t>
      </w:r>
      <w:r w:rsidR="00560790" w:rsidRPr="00397379">
        <w:rPr>
          <w:vertAlign w:val="superscript"/>
        </w:rPr>
        <w:t>9</w:t>
      </w:r>
      <w:r w:rsidR="00560790" w:rsidRPr="00722994">
        <w:t>/L; platelets 260 x10</w:t>
      </w:r>
      <w:r w:rsidR="00560790" w:rsidRPr="00397379">
        <w:rPr>
          <w:vertAlign w:val="superscript"/>
        </w:rPr>
        <w:t>9</w:t>
      </w:r>
      <w:r w:rsidR="00560790" w:rsidRPr="00722994">
        <w:t xml:space="preserve">/L; GFR </w:t>
      </w:r>
      <w:r w:rsidR="00560790">
        <w:t>25 mL/min; AST 55 iu/L; bilirubin 52 µmol/L</w:t>
      </w:r>
    </w:p>
    <w:p w14:paraId="24BD7CF9" w14:textId="5B68B022" w:rsidR="00560790" w:rsidRDefault="00560790" w:rsidP="00865414">
      <w:pPr>
        <w:pStyle w:val="SecAQ"/>
      </w:pPr>
      <w:r>
        <w:t>Which of the following combinations of anti-emetic drugs is commonly prescribed for limiting nausea and vomiting after a highly emetogenic regimen which includes high dose cisplatin (&gt;50mg/m</w:t>
      </w:r>
      <w:r w:rsidRPr="00397379">
        <w:rPr>
          <w:vertAlign w:val="superscript"/>
        </w:rPr>
        <w:t>2</w:t>
      </w:r>
      <w:r>
        <w:t>)?</w:t>
      </w:r>
    </w:p>
    <w:p w14:paraId="147013D5" w14:textId="35F0DF4B"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722994">
        <w:t>Domperidone prn</w:t>
      </w:r>
    </w:p>
    <w:p w14:paraId="2AB58EC6" w14:textId="6440A61B"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722994">
        <w:t>Domperidone and dexamethasone</w:t>
      </w:r>
    </w:p>
    <w:p w14:paraId="123304D8" w14:textId="497FB00D"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722994">
        <w:t>Aprepitant, dexamethasone, ondansetron and domperidone</w:t>
      </w:r>
    </w:p>
    <w:p w14:paraId="4A4D8DD0" w14:textId="227EC50F"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722994">
        <w:t>Aprepitant, ondansetron and domperidone</w:t>
      </w:r>
    </w:p>
    <w:p w14:paraId="4D05D067" w14:textId="489B7813" w:rsidR="00560790"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722994">
        <w:t>Dexamethasone and aprepitant</w:t>
      </w:r>
    </w:p>
    <w:p w14:paraId="7318CE9D" w14:textId="1E0AA8E3" w:rsidR="00560790" w:rsidRDefault="00560790" w:rsidP="00865414">
      <w:pPr>
        <w:pStyle w:val="SecAQ"/>
      </w:pPr>
      <w:r>
        <w:t xml:space="preserve">What does a colorectal patient </w:t>
      </w:r>
      <w:r w:rsidRPr="00BD2A4D">
        <w:t>being</w:t>
      </w:r>
      <w:r>
        <w:t xml:space="preserve"> treated with cetuximab need to be tested for before administration?</w:t>
      </w:r>
    </w:p>
    <w:p w14:paraId="19BB5D04" w14:textId="01E5C712"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722994">
        <w:t>EGFR and BRAF status</w:t>
      </w:r>
    </w:p>
    <w:p w14:paraId="43EC1F38" w14:textId="261783FE"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722994">
        <w:t xml:space="preserve">HER 2 and CD20 status </w:t>
      </w:r>
    </w:p>
    <w:p w14:paraId="54768D18" w14:textId="603FCA38"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722994">
        <w:t>KRAS and NRAS status</w:t>
      </w:r>
    </w:p>
    <w:p w14:paraId="630FC52E" w14:textId="4B5B3812"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722994">
        <w:t>BRAF and NRAS status</w:t>
      </w:r>
    </w:p>
    <w:p w14:paraId="6F0C7264" w14:textId="26DE235A" w:rsidR="00560790" w:rsidRPr="00722994"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722994">
        <w:t>CD20 status</w:t>
      </w:r>
    </w:p>
    <w:p w14:paraId="4B8D49C2" w14:textId="1B670209" w:rsidR="00560790" w:rsidRDefault="00560790" w:rsidP="00865414">
      <w:pPr>
        <w:pStyle w:val="SecAQ"/>
      </w:pPr>
      <w:r>
        <w:t>Which of the following statements about GCSF products is not true?</w:t>
      </w:r>
    </w:p>
    <w:p w14:paraId="065372D1" w14:textId="59651DC2" w:rsidR="00560790" w:rsidRPr="00795232"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795232">
        <w:t>GCSF may be given to patients before chemotherapy in some circumstances</w:t>
      </w:r>
    </w:p>
    <w:p w14:paraId="4A687F83" w14:textId="5AC68314" w:rsidR="00560790" w:rsidRPr="00795232"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795232">
        <w:t xml:space="preserve">Daily GCSF is administered on all the days between cycles </w:t>
      </w:r>
    </w:p>
    <w:p w14:paraId="25F09849" w14:textId="251DF513" w:rsidR="00560790" w:rsidRPr="00795232"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795232">
        <w:t>Pegfilgrastim is usually given to patients 24 hours after chemotherapy</w:t>
      </w:r>
    </w:p>
    <w:p w14:paraId="1A0EFE3D" w14:textId="6D76CC29" w:rsidR="00560790" w:rsidRPr="00795232"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795232">
        <w:t>Biosimilar GCSF products are available for use in the UK</w:t>
      </w:r>
    </w:p>
    <w:p w14:paraId="3DDE931F" w14:textId="371CD9CC" w:rsidR="00560790"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795232">
        <w:t>GCSF can be pr</w:t>
      </w:r>
      <w:r w:rsidR="00560790">
        <w:t>escribed for patients as secondary prophylaxis for some regimens</w:t>
      </w:r>
    </w:p>
    <w:p w14:paraId="1EBEEC3F" w14:textId="66F9EB1C" w:rsidR="00560790" w:rsidRDefault="00560790" w:rsidP="00865414">
      <w:pPr>
        <w:pStyle w:val="SecAQ"/>
      </w:pPr>
      <w:r>
        <w:t>Which one of the following is not essential to check for when you are verifying a prescription for single agent bevacizumab?</w:t>
      </w:r>
    </w:p>
    <w:p w14:paraId="1D79FA84" w14:textId="4AC3D7CD" w:rsidR="00560790" w:rsidRPr="00795232"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795232">
        <w:t>any recent major surgery</w:t>
      </w:r>
      <w:r w:rsidR="005F523F" w:rsidRPr="00795232">
        <w:t xml:space="preserve"> </w:t>
      </w:r>
      <w:r w:rsidR="00560790" w:rsidRPr="00795232">
        <w:t>within the last 28 days</w:t>
      </w:r>
    </w:p>
    <w:p w14:paraId="6B8C5452" w14:textId="79618534" w:rsidR="00560790" w:rsidRPr="00795232"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795232">
        <w:t>the hypertension profile of the patient</w:t>
      </w:r>
    </w:p>
    <w:p w14:paraId="018BBABD" w14:textId="4A7EE0CB" w:rsidR="00560790" w:rsidRPr="00795232"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795232">
        <w:t>current renal function status</w:t>
      </w:r>
    </w:p>
    <w:p w14:paraId="68879C54" w14:textId="78453DF8" w:rsidR="00560790" w:rsidRPr="00795232"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795232">
        <w:t>a urine analysis test for proteinuria levels</w:t>
      </w:r>
    </w:p>
    <w:p w14:paraId="54210CB2" w14:textId="2D7B0719" w:rsidR="00560790" w:rsidRPr="00795232"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795232">
        <w:t>allergy status</w:t>
      </w:r>
    </w:p>
    <w:p w14:paraId="12F0E3DB" w14:textId="40FD1CD3" w:rsidR="00560790" w:rsidRDefault="00560790" w:rsidP="00865414">
      <w:pPr>
        <w:pStyle w:val="SecAQ"/>
      </w:pPr>
      <w:r>
        <w:lastRenderedPageBreak/>
        <w:t xml:space="preserve">Which one of the following drugs does not </w:t>
      </w:r>
      <w:r w:rsidRPr="00BD2A4D">
        <w:t>have</w:t>
      </w:r>
      <w:r>
        <w:t xml:space="preserve"> a pregnancy prevention program recommended by the manufacturers?</w:t>
      </w:r>
    </w:p>
    <w:p w14:paraId="3E61FE35" w14:textId="517CEE90" w:rsidR="00560790" w:rsidRPr="00795232"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795232">
        <w:t>Thalidomide Celgene</w:t>
      </w:r>
      <w:r w:rsidR="00560790" w:rsidRPr="00397379">
        <w:rPr>
          <w:vertAlign w:val="superscript"/>
        </w:rPr>
        <w:t>®</w:t>
      </w:r>
    </w:p>
    <w:p w14:paraId="50621331" w14:textId="3F858C8C" w:rsidR="00560790" w:rsidRPr="00795232"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795232">
        <w:t>Revlimid</w:t>
      </w:r>
      <w:r w:rsidR="00560790" w:rsidRPr="00397379">
        <w:rPr>
          <w:vertAlign w:val="superscript"/>
        </w:rPr>
        <w:t>®</w:t>
      </w:r>
    </w:p>
    <w:p w14:paraId="5D8713C5" w14:textId="17FCE01E" w:rsidR="00560790" w:rsidRPr="00795232"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795232">
        <w:t>Erivedge</w:t>
      </w:r>
      <w:r w:rsidR="00560790" w:rsidRPr="00397379">
        <w:rPr>
          <w:vertAlign w:val="superscript"/>
        </w:rPr>
        <w:t>®</w:t>
      </w:r>
    </w:p>
    <w:p w14:paraId="220E45A9" w14:textId="41B5F3EF" w:rsidR="00560790" w:rsidRPr="00795232"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795232">
        <w:t>Imnovid</w:t>
      </w:r>
      <w:r w:rsidR="00560790" w:rsidRPr="00397379">
        <w:rPr>
          <w:vertAlign w:val="superscript"/>
        </w:rPr>
        <w:t>®</w:t>
      </w:r>
    </w:p>
    <w:p w14:paraId="5DDC799F" w14:textId="1E5A90D4" w:rsidR="00560790"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795232">
        <w:t>Iressa</w:t>
      </w:r>
      <w:r w:rsidR="00560790" w:rsidRPr="00397379">
        <w:rPr>
          <w:vertAlign w:val="superscript"/>
        </w:rPr>
        <w:t>®</w:t>
      </w:r>
    </w:p>
    <w:p w14:paraId="6E32B99A" w14:textId="376ED246" w:rsidR="00560790" w:rsidRDefault="00560790" w:rsidP="00184726">
      <w:pPr>
        <w:pStyle w:val="SecAQ"/>
      </w:pPr>
      <w:r>
        <w:t xml:space="preserve">Personalised care and treatment of NSCL lung cancer patients. Match the biomarker to the treatment </w:t>
      </w:r>
    </w:p>
    <w:tbl>
      <w:tblPr>
        <w:tblStyle w:val="TableGrid"/>
        <w:tblW w:w="0" w:type="auto"/>
        <w:tblLook w:val="04A0" w:firstRow="1" w:lastRow="0" w:firstColumn="1" w:lastColumn="0" w:noHBand="0" w:noVBand="1"/>
      </w:tblPr>
      <w:tblGrid>
        <w:gridCol w:w="3398"/>
        <w:gridCol w:w="2267"/>
        <w:gridCol w:w="4529"/>
      </w:tblGrid>
      <w:tr w:rsidR="00BD2A4D" w:rsidRPr="00724A2B" w14:paraId="123615F9" w14:textId="77777777" w:rsidTr="00BD2A4D">
        <w:tc>
          <w:tcPr>
            <w:tcW w:w="3398" w:type="dxa"/>
          </w:tcPr>
          <w:p w14:paraId="706BD0B9" w14:textId="77777777" w:rsidR="00BD2A4D" w:rsidRPr="00724A2B" w:rsidRDefault="00BD2A4D" w:rsidP="00C41EB7">
            <w:pPr>
              <w:rPr>
                <w:b/>
                <w:bCs/>
              </w:rPr>
            </w:pPr>
            <w:r w:rsidRPr="00724A2B">
              <w:rPr>
                <w:b/>
                <w:bCs/>
              </w:rPr>
              <w:t>Treatment</w:t>
            </w:r>
          </w:p>
        </w:tc>
        <w:tc>
          <w:tcPr>
            <w:tcW w:w="2267" w:type="dxa"/>
          </w:tcPr>
          <w:p w14:paraId="73334A61" w14:textId="77777777" w:rsidR="00BD2A4D" w:rsidRPr="00724A2B" w:rsidRDefault="00BD2A4D" w:rsidP="00C41EB7">
            <w:pPr>
              <w:jc w:val="center"/>
              <w:rPr>
                <w:b/>
                <w:bCs/>
              </w:rPr>
            </w:pPr>
            <w:r w:rsidRPr="00724A2B">
              <w:rPr>
                <w:b/>
                <w:bCs/>
              </w:rPr>
              <w:t>Answer</w:t>
            </w:r>
          </w:p>
        </w:tc>
        <w:tc>
          <w:tcPr>
            <w:tcW w:w="4529" w:type="dxa"/>
          </w:tcPr>
          <w:p w14:paraId="11B97123" w14:textId="77777777" w:rsidR="00BD2A4D" w:rsidRPr="00724A2B" w:rsidRDefault="00BD2A4D" w:rsidP="00C41EB7">
            <w:pPr>
              <w:rPr>
                <w:b/>
                <w:bCs/>
              </w:rPr>
            </w:pPr>
            <w:r w:rsidRPr="00724A2B">
              <w:rPr>
                <w:b/>
                <w:bCs/>
              </w:rPr>
              <w:t>Biomarker</w:t>
            </w:r>
          </w:p>
        </w:tc>
      </w:tr>
      <w:tr w:rsidR="00BD2A4D" w:rsidRPr="00BD2A4D" w14:paraId="2DB61CE1" w14:textId="77777777" w:rsidTr="00BD2A4D">
        <w:tc>
          <w:tcPr>
            <w:tcW w:w="3398" w:type="dxa"/>
          </w:tcPr>
          <w:p w14:paraId="3FF5A528" w14:textId="77777777" w:rsidR="00BD2A4D" w:rsidRPr="00BD2A4D" w:rsidRDefault="00BD2A4D" w:rsidP="00C41EB7">
            <w:r w:rsidRPr="00BD2A4D">
              <w:t>a. Pembrolizumab</w:t>
            </w:r>
          </w:p>
        </w:tc>
        <w:tc>
          <w:tcPr>
            <w:tcW w:w="2267" w:type="dxa"/>
          </w:tcPr>
          <w:p w14:paraId="4DCDD61C" w14:textId="3926E4FE" w:rsidR="00BD2A4D" w:rsidRPr="00BD2A4D" w:rsidRDefault="00F03AFD" w:rsidP="00C41EB7">
            <w:pPr>
              <w:jc w:val="center"/>
            </w:pPr>
            <w:r>
              <w:fldChar w:fldCharType="begin">
                <w:ffData>
                  <w:name w:val="Text1"/>
                  <w:enabled/>
                  <w:calcOnExit w:val="0"/>
                  <w:textInput>
                    <w:maxLength w:val="1"/>
                    <w:format w:val="UPPERCASE"/>
                  </w:textInput>
                </w:ffData>
              </w:fldChar>
            </w:r>
            <w:bookmarkStart w:id="2" w:name="Text1"/>
            <w:r>
              <w:instrText xml:space="preserve"> FORMTEXT </w:instrText>
            </w:r>
            <w:r>
              <w:fldChar w:fldCharType="separate"/>
            </w:r>
            <w:r>
              <w:rPr>
                <w:noProof/>
              </w:rPr>
              <w:t> </w:t>
            </w:r>
            <w:r>
              <w:fldChar w:fldCharType="end"/>
            </w:r>
            <w:bookmarkEnd w:id="2"/>
          </w:p>
        </w:tc>
        <w:tc>
          <w:tcPr>
            <w:tcW w:w="4529" w:type="dxa"/>
          </w:tcPr>
          <w:p w14:paraId="6C9BBD32" w14:textId="6724ACE9" w:rsidR="00BD2A4D" w:rsidRPr="00BD2A4D" w:rsidRDefault="005F523F" w:rsidP="00041D3A">
            <w:r>
              <w:t xml:space="preserve">A. </w:t>
            </w:r>
            <w:r w:rsidR="00041D3A" w:rsidRPr="00BD2A4D">
              <w:t>EGFR mutation +ve</w:t>
            </w:r>
            <w:r w:rsidR="00041D3A">
              <w:t xml:space="preserve"> </w:t>
            </w:r>
          </w:p>
        </w:tc>
      </w:tr>
      <w:tr w:rsidR="00BD2A4D" w:rsidRPr="00BD2A4D" w14:paraId="09F7CCFD" w14:textId="77777777" w:rsidTr="00BD2A4D">
        <w:tc>
          <w:tcPr>
            <w:tcW w:w="3398" w:type="dxa"/>
          </w:tcPr>
          <w:p w14:paraId="3E7EA500" w14:textId="77777777" w:rsidR="00BD2A4D" w:rsidRPr="00BD2A4D" w:rsidRDefault="00BD2A4D" w:rsidP="00C41EB7">
            <w:r w:rsidRPr="00BD2A4D">
              <w:t>b. Osimertinib</w:t>
            </w:r>
          </w:p>
        </w:tc>
        <w:tc>
          <w:tcPr>
            <w:tcW w:w="2267" w:type="dxa"/>
          </w:tcPr>
          <w:p w14:paraId="1B8CD2DC" w14:textId="5029A858" w:rsidR="00BD2A4D" w:rsidRPr="00BD2A4D" w:rsidRDefault="00F03AFD" w:rsidP="00C41EB7">
            <w:pPr>
              <w:jc w:val="center"/>
            </w:pPr>
            <w:r>
              <w:fldChar w:fldCharType="begin">
                <w:ffData>
                  <w:name w:val="Text1"/>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529" w:type="dxa"/>
          </w:tcPr>
          <w:p w14:paraId="0481FDF2" w14:textId="1DBD95F4" w:rsidR="00BD2A4D" w:rsidRPr="00BD2A4D" w:rsidRDefault="005F523F" w:rsidP="00041D3A">
            <w:r>
              <w:t xml:space="preserve">B. </w:t>
            </w:r>
            <w:r w:rsidR="00041D3A" w:rsidRPr="00BD2A4D">
              <w:t>PD-LI</w:t>
            </w:r>
            <w:r w:rsidR="00041D3A">
              <w:t xml:space="preserve"> </w:t>
            </w:r>
            <w:r w:rsidR="00041D3A" w:rsidRPr="00BD2A4D">
              <w:t xml:space="preserve">≥ 50% </w:t>
            </w:r>
          </w:p>
        </w:tc>
      </w:tr>
      <w:tr w:rsidR="00BD2A4D" w:rsidRPr="00BD2A4D" w14:paraId="47395C29" w14:textId="77777777" w:rsidTr="00BD2A4D">
        <w:tc>
          <w:tcPr>
            <w:tcW w:w="3398" w:type="dxa"/>
          </w:tcPr>
          <w:p w14:paraId="4C94E930" w14:textId="77777777" w:rsidR="00BD2A4D" w:rsidRPr="00BD2A4D" w:rsidRDefault="00BD2A4D" w:rsidP="00C41EB7">
            <w:r w:rsidRPr="00BD2A4D">
              <w:t>c. Erlotinib</w:t>
            </w:r>
          </w:p>
        </w:tc>
        <w:tc>
          <w:tcPr>
            <w:tcW w:w="2267" w:type="dxa"/>
          </w:tcPr>
          <w:p w14:paraId="07C2A651" w14:textId="660A06EE" w:rsidR="00BD2A4D" w:rsidRPr="00BD2A4D" w:rsidRDefault="00F03AFD" w:rsidP="00C41EB7">
            <w:pPr>
              <w:jc w:val="center"/>
            </w:pPr>
            <w:r>
              <w:fldChar w:fldCharType="begin">
                <w:ffData>
                  <w:name w:val="Text1"/>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529" w:type="dxa"/>
          </w:tcPr>
          <w:p w14:paraId="517316AA" w14:textId="0A02B039" w:rsidR="00BD2A4D" w:rsidRPr="00BD2A4D" w:rsidRDefault="005F523F" w:rsidP="00C41EB7">
            <w:r>
              <w:t xml:space="preserve">C. </w:t>
            </w:r>
            <w:r w:rsidR="00041D3A">
              <w:t>A</w:t>
            </w:r>
            <w:r w:rsidR="00041D3A" w:rsidRPr="00BD2A4D">
              <w:t>LK +ve</w:t>
            </w:r>
          </w:p>
        </w:tc>
      </w:tr>
      <w:tr w:rsidR="00BD2A4D" w:rsidRPr="00BD2A4D" w14:paraId="5430DA60" w14:textId="77777777" w:rsidTr="00BD2A4D">
        <w:tc>
          <w:tcPr>
            <w:tcW w:w="3398" w:type="dxa"/>
          </w:tcPr>
          <w:p w14:paraId="7E917A04" w14:textId="77777777" w:rsidR="00BD2A4D" w:rsidRPr="00BD2A4D" w:rsidRDefault="00BD2A4D" w:rsidP="00C41EB7">
            <w:r w:rsidRPr="00BD2A4D">
              <w:t>d. Crizotinib</w:t>
            </w:r>
          </w:p>
        </w:tc>
        <w:tc>
          <w:tcPr>
            <w:tcW w:w="2267" w:type="dxa"/>
          </w:tcPr>
          <w:p w14:paraId="2E02E596" w14:textId="237ABAEA" w:rsidR="00BD2A4D" w:rsidRPr="00BD2A4D" w:rsidRDefault="00F03AFD" w:rsidP="00C41EB7">
            <w:pPr>
              <w:jc w:val="center"/>
            </w:pPr>
            <w:r>
              <w:fldChar w:fldCharType="begin">
                <w:ffData>
                  <w:name w:val="Text1"/>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529" w:type="dxa"/>
          </w:tcPr>
          <w:p w14:paraId="402E8854" w14:textId="62C55A50" w:rsidR="00BD2A4D" w:rsidRPr="00BD2A4D" w:rsidRDefault="005F523F" w:rsidP="00041D3A">
            <w:r>
              <w:t xml:space="preserve">D. </w:t>
            </w:r>
            <w:r w:rsidR="00BD2A4D" w:rsidRPr="00BD2A4D">
              <w:t>A</w:t>
            </w:r>
            <w:r w:rsidR="00041D3A">
              <w:t xml:space="preserve"> EGFR</w:t>
            </w:r>
            <w:r w:rsidR="00041D3A" w:rsidRPr="00BD2A4D">
              <w:t xml:space="preserve"> exon 19 </w:t>
            </w:r>
          </w:p>
        </w:tc>
      </w:tr>
      <w:tr w:rsidR="00BD2A4D" w:rsidRPr="00BD2A4D" w14:paraId="771844F3" w14:textId="77777777" w:rsidTr="00BD2A4D">
        <w:tc>
          <w:tcPr>
            <w:tcW w:w="3398" w:type="dxa"/>
          </w:tcPr>
          <w:p w14:paraId="7136893C" w14:textId="77777777" w:rsidR="00BD2A4D" w:rsidRPr="00BD2A4D" w:rsidRDefault="00BD2A4D" w:rsidP="00C41EB7">
            <w:r w:rsidRPr="00BD2A4D">
              <w:t>e. Afatinib</w:t>
            </w:r>
          </w:p>
        </w:tc>
        <w:tc>
          <w:tcPr>
            <w:tcW w:w="2267" w:type="dxa"/>
          </w:tcPr>
          <w:p w14:paraId="543BC65F" w14:textId="70F54958" w:rsidR="00BD2A4D" w:rsidRPr="00BD2A4D" w:rsidRDefault="00F03AFD" w:rsidP="00C41EB7">
            <w:pPr>
              <w:jc w:val="center"/>
            </w:pPr>
            <w:r>
              <w:fldChar w:fldCharType="begin">
                <w:ffData>
                  <w:name w:val="Text1"/>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529" w:type="dxa"/>
          </w:tcPr>
          <w:p w14:paraId="143602DB" w14:textId="01C306DE" w:rsidR="00BD2A4D" w:rsidRPr="00BD2A4D" w:rsidRDefault="005F523F" w:rsidP="00041D3A">
            <w:r>
              <w:t xml:space="preserve">E. </w:t>
            </w:r>
            <w:r w:rsidR="00041D3A" w:rsidRPr="00BD2A4D">
              <w:t>EGFR T790M +ve</w:t>
            </w:r>
            <w:r w:rsidR="00041D3A">
              <w:t xml:space="preserve"> </w:t>
            </w:r>
          </w:p>
        </w:tc>
      </w:tr>
    </w:tbl>
    <w:p w14:paraId="1C809242" w14:textId="10515E02" w:rsidR="005F523F" w:rsidRDefault="005F523F" w:rsidP="00560790">
      <w:pPr>
        <w:spacing w:before="0" w:after="0"/>
      </w:pPr>
    </w:p>
    <w:p w14:paraId="1C901E56" w14:textId="77777777" w:rsidR="005F523F" w:rsidRDefault="005F523F">
      <w:pPr>
        <w:spacing w:before="0" w:after="0" w:line="240" w:lineRule="auto"/>
      </w:pPr>
      <w:r>
        <w:br w:type="page"/>
      </w:r>
    </w:p>
    <w:p w14:paraId="0B77B982" w14:textId="77777777" w:rsidR="00560790" w:rsidRPr="00BD2A4D" w:rsidRDefault="00560790" w:rsidP="00BD2A4D">
      <w:pPr>
        <w:pStyle w:val="Heading2"/>
      </w:pPr>
      <w:r w:rsidRPr="00BD2A4D">
        <w:lastRenderedPageBreak/>
        <w:t xml:space="preserve">Section B </w:t>
      </w:r>
    </w:p>
    <w:p w14:paraId="0B14674D" w14:textId="77777777" w:rsidR="00560790" w:rsidRDefault="00560790" w:rsidP="005F523F">
      <w:pPr>
        <w:pStyle w:val="Heading3"/>
      </w:pPr>
      <w:r>
        <w:t>Colorectal Case Study 1</w:t>
      </w:r>
    </w:p>
    <w:p w14:paraId="4C1653B5" w14:textId="64945E67" w:rsidR="005131C5" w:rsidRPr="005131C5" w:rsidRDefault="005131C5" w:rsidP="00CD6732">
      <w:r>
        <w:rPr>
          <w:b/>
          <w:bCs/>
        </w:rPr>
        <w:t>In this case study, s</w:t>
      </w:r>
      <w:r w:rsidRPr="00656E0D">
        <w:rPr>
          <w:b/>
          <w:bCs/>
        </w:rPr>
        <w:t>elect one answer only from the following</w:t>
      </w:r>
      <w:r>
        <w:rPr>
          <w:b/>
          <w:bCs/>
        </w:rPr>
        <w:t xml:space="preserve"> questions </w:t>
      </w:r>
    </w:p>
    <w:p w14:paraId="28CBBBDB" w14:textId="77777777" w:rsidR="00560790" w:rsidRPr="00842AA3" w:rsidRDefault="00560790" w:rsidP="00842AA3">
      <w:r w:rsidRPr="00842AA3">
        <w:t>A 58 year old male patient, Mr XC, has been prescribed a XELOX regimen (also known as Cape/Ox, consisting of oxaliplatin and capecitabine) and you are going through his medication to go home with. He reveals the drugs which he is currently taking: metoprolol 50mg bd; ramipril 5mg od; allopurinol 300mg daily; Maalox</w:t>
      </w:r>
      <w:r w:rsidRPr="00397379">
        <w:rPr>
          <w:vertAlign w:val="superscript"/>
        </w:rPr>
        <w:t>®</w:t>
      </w:r>
      <w:r w:rsidRPr="00842AA3">
        <w:t xml:space="preserve"> 10mls tds; warfarin 3mgs daily; simvastatin 20mg nocte.</w:t>
      </w:r>
    </w:p>
    <w:p w14:paraId="2AF293F5" w14:textId="77777777" w:rsidR="00560790" w:rsidRPr="00842AA3" w:rsidRDefault="00560790" w:rsidP="00842AA3">
      <w:r w:rsidRPr="00842AA3">
        <w:t>His height is 180cm and weight is 80kg; WBC= 5.6, ANC= 2.3, SrCr= 75µmol/L; bilirubin= 12mmol/l.</w:t>
      </w:r>
    </w:p>
    <w:p w14:paraId="3722D7D9" w14:textId="1C47A6AA" w:rsidR="00560790" w:rsidRPr="003F1611" w:rsidRDefault="00560790" w:rsidP="00BB31B5">
      <w:pPr>
        <w:pStyle w:val="SecAQ"/>
        <w:numPr>
          <w:ilvl w:val="0"/>
          <w:numId w:val="12"/>
        </w:numPr>
      </w:pPr>
      <w:r w:rsidRPr="003F1611">
        <w:t>What is the BSA of Mr XC using the Dubois method?</w:t>
      </w:r>
      <w:r w:rsidR="005131C5">
        <w:t xml:space="preserve"> </w:t>
      </w:r>
    </w:p>
    <w:p w14:paraId="4EBF825D" w14:textId="2734F727" w:rsidR="00560790"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t>1.66m</w:t>
      </w:r>
      <w:r w:rsidR="00560790" w:rsidRPr="00397379">
        <w:t>2</w:t>
      </w:r>
    </w:p>
    <w:p w14:paraId="23F8FE28" w14:textId="3029920C" w:rsidR="00560790"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t>1.75m</w:t>
      </w:r>
      <w:r w:rsidR="00560790" w:rsidRPr="00397379">
        <w:t>2</w:t>
      </w:r>
    </w:p>
    <w:p w14:paraId="223B0C3D" w14:textId="3440A587" w:rsidR="00560790"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t>1.86m</w:t>
      </w:r>
      <w:r w:rsidR="00560790" w:rsidRPr="00397379">
        <w:t>2</w:t>
      </w:r>
    </w:p>
    <w:p w14:paraId="4E51537B" w14:textId="7A89E3FB" w:rsidR="00560790"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t>1.97m</w:t>
      </w:r>
      <w:r w:rsidR="00560790" w:rsidRPr="00397379">
        <w:t>2</w:t>
      </w:r>
    </w:p>
    <w:p w14:paraId="20FC6EED" w14:textId="429D5194" w:rsidR="00560790" w:rsidRDefault="00F03AFD" w:rsidP="00F03AF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t>2.00m</w:t>
      </w:r>
      <w:r w:rsidR="00560790" w:rsidRPr="00397379">
        <w:t>2</w:t>
      </w:r>
    </w:p>
    <w:p w14:paraId="0F383A64" w14:textId="15EA648D" w:rsidR="00560790" w:rsidRPr="003F1611" w:rsidRDefault="00560790" w:rsidP="00865414">
      <w:pPr>
        <w:pStyle w:val="SecAQ"/>
        <w:ind w:left="567" w:hanging="567"/>
      </w:pPr>
      <w:r w:rsidRPr="003F1611">
        <w:t>What is the correct dose and duration of his capecitabine tablets?</w:t>
      </w:r>
      <w:r w:rsidR="005131C5">
        <w:t xml:space="preserve"> </w:t>
      </w:r>
    </w:p>
    <w:p w14:paraId="7B24BBF5" w14:textId="17D1A6E7" w:rsidR="00560790" w:rsidRDefault="00842AA3" w:rsidP="00842AA3">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t>1000mg twice a day for 14 days every</w:t>
      </w:r>
      <w:r w:rsidR="005F523F">
        <w:t xml:space="preserve"> </w:t>
      </w:r>
      <w:r w:rsidR="00560790">
        <w:t>14 days</w:t>
      </w:r>
    </w:p>
    <w:p w14:paraId="4B4B9798" w14:textId="3E6FF1F1" w:rsidR="00560790" w:rsidRDefault="00842AA3" w:rsidP="00842AA3">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t>1300mg twice a day for 21 days every</w:t>
      </w:r>
      <w:r w:rsidR="005F523F">
        <w:t xml:space="preserve"> </w:t>
      </w:r>
      <w:r w:rsidR="00560790">
        <w:t>21 days</w:t>
      </w:r>
    </w:p>
    <w:p w14:paraId="2E038A25" w14:textId="1E9DB834" w:rsidR="00560790" w:rsidRDefault="00842AA3" w:rsidP="00842AA3">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t>1300mg twice a day for 14 days every</w:t>
      </w:r>
      <w:r w:rsidR="005F523F">
        <w:t xml:space="preserve"> </w:t>
      </w:r>
      <w:r w:rsidR="00560790">
        <w:t>21 days</w:t>
      </w:r>
    </w:p>
    <w:p w14:paraId="58D784CE" w14:textId="506D99D5" w:rsidR="00560790" w:rsidRDefault="00842AA3" w:rsidP="00842AA3">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t>2000mg twice a day for 14 days every</w:t>
      </w:r>
      <w:r w:rsidR="005F523F">
        <w:t xml:space="preserve"> </w:t>
      </w:r>
      <w:r w:rsidR="00560790">
        <w:t>21 days</w:t>
      </w:r>
    </w:p>
    <w:p w14:paraId="55924603" w14:textId="4FD38E52" w:rsidR="00560790" w:rsidRDefault="00842AA3" w:rsidP="00842AA3">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t>2000mg twice a day for 21 days every</w:t>
      </w:r>
      <w:r w:rsidR="005F523F">
        <w:t xml:space="preserve"> </w:t>
      </w:r>
      <w:r w:rsidR="00560790">
        <w:t>21 days</w:t>
      </w:r>
    </w:p>
    <w:p w14:paraId="6794C950" w14:textId="5C202A1F" w:rsidR="00560790" w:rsidRPr="003F1611" w:rsidRDefault="00560790" w:rsidP="00BB31B5">
      <w:pPr>
        <w:pStyle w:val="SecAQ"/>
        <w:numPr>
          <w:ilvl w:val="0"/>
          <w:numId w:val="6"/>
        </w:numPr>
        <w:ind w:left="567" w:hanging="567"/>
      </w:pPr>
      <w:r w:rsidRPr="003F1611">
        <w:t>Which of the following combination of preparations that he is on may need reviewing as they may have a significant interaction with the capecitabine?</w:t>
      </w:r>
      <w:r w:rsidR="005131C5">
        <w:t xml:space="preserve"> </w:t>
      </w:r>
    </w:p>
    <w:p w14:paraId="51FBF54D" w14:textId="466E87FC" w:rsidR="00560790" w:rsidRPr="00843CD3" w:rsidRDefault="00842AA3" w:rsidP="00842AA3">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843CD3">
        <w:t>Ramipril and allopurinol</w:t>
      </w:r>
    </w:p>
    <w:p w14:paraId="49FE72C0" w14:textId="62AAC548" w:rsidR="00560790" w:rsidRPr="00843CD3" w:rsidRDefault="00842AA3" w:rsidP="00842AA3">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843CD3">
        <w:t>Metoprolol, simvastatin and Maalox</w:t>
      </w:r>
      <w:r w:rsidR="00560790" w:rsidRPr="00397379">
        <w:rPr>
          <w:vertAlign w:val="superscript"/>
        </w:rPr>
        <w:t>®</w:t>
      </w:r>
    </w:p>
    <w:p w14:paraId="4184F92E" w14:textId="370100B8" w:rsidR="00560790" w:rsidRPr="00843CD3" w:rsidRDefault="00842AA3" w:rsidP="00842AA3">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843CD3">
        <w:t>Allopurinol, warfarin and Maalox</w:t>
      </w:r>
      <w:r w:rsidR="00560790" w:rsidRPr="00397379">
        <w:rPr>
          <w:vertAlign w:val="superscript"/>
        </w:rPr>
        <w:t xml:space="preserve">® </w:t>
      </w:r>
    </w:p>
    <w:p w14:paraId="255833DA" w14:textId="27787891" w:rsidR="00560790" w:rsidRPr="00843CD3" w:rsidRDefault="00842AA3" w:rsidP="00842AA3">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843CD3">
        <w:t>Ramipril, allopurinol, simvastatin and warfarin</w:t>
      </w:r>
    </w:p>
    <w:p w14:paraId="43C9F961" w14:textId="241BC1BA" w:rsidR="00560790" w:rsidRPr="00843CD3" w:rsidRDefault="00842AA3" w:rsidP="00842AA3">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843CD3">
        <w:t>Warfarin only</w:t>
      </w:r>
    </w:p>
    <w:p w14:paraId="3670C725" w14:textId="74E78456" w:rsidR="00560790" w:rsidRDefault="00560790" w:rsidP="00BB31B5">
      <w:pPr>
        <w:pStyle w:val="SecAQ"/>
        <w:numPr>
          <w:ilvl w:val="0"/>
          <w:numId w:val="11"/>
        </w:numPr>
        <w:ind w:left="567" w:hanging="567"/>
      </w:pPr>
      <w:r>
        <w:t>Mr XC comments that the capecitabine tablets are too large to swallow and asks you how to take them. Which of the following options would you recommend?</w:t>
      </w:r>
    </w:p>
    <w:p w14:paraId="1F94A62B" w14:textId="22F76CAD" w:rsidR="00560790" w:rsidRPr="00843CD3" w:rsidRDefault="00842AA3" w:rsidP="00842AA3">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843CD3">
        <w:t>Still have to swallow them whole, and take one hour before food</w:t>
      </w:r>
    </w:p>
    <w:p w14:paraId="24B77D4A" w14:textId="1A832C89" w:rsidR="00560790" w:rsidRPr="00843CD3" w:rsidRDefault="00842AA3" w:rsidP="00842AA3">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843CD3">
        <w:t>May crush them up, transfer to a glass of water and swallow immediately, on an empty stomach</w:t>
      </w:r>
    </w:p>
    <w:p w14:paraId="2E4E462B" w14:textId="6536860B" w:rsidR="00560790" w:rsidRPr="00843CD3" w:rsidRDefault="00842AA3" w:rsidP="00842AA3">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843CD3">
        <w:t>Allow to disperse in half a glass of water and take within 30 minutes before food</w:t>
      </w:r>
    </w:p>
    <w:p w14:paraId="0BE6A1A3" w14:textId="3E6F1460" w:rsidR="00560790" w:rsidRPr="00843CD3" w:rsidRDefault="00842AA3" w:rsidP="00842AA3">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843CD3">
        <w:t>Allow to disperse in half a glass of water and take within 30 minutes after food</w:t>
      </w:r>
    </w:p>
    <w:p w14:paraId="367ABF4B" w14:textId="68CC719A" w:rsidR="00560790" w:rsidRDefault="00842AA3" w:rsidP="00842AA3">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843CD3">
        <w:t>Cut the tablets</w:t>
      </w:r>
      <w:r w:rsidR="00560790">
        <w:t xml:space="preserve"> in half with a tablet cutter and take them within 30minutes after food</w:t>
      </w:r>
    </w:p>
    <w:p w14:paraId="1E096A6D" w14:textId="783D8E2D" w:rsidR="00560790" w:rsidRDefault="00560790" w:rsidP="00865414">
      <w:pPr>
        <w:pStyle w:val="SecAQ"/>
      </w:pPr>
      <w:r>
        <w:t xml:space="preserve">Mr XC </w:t>
      </w:r>
      <w:r w:rsidRPr="00843CD3">
        <w:t>goes</w:t>
      </w:r>
      <w:r>
        <w:t xml:space="preserve"> home after chemotherapy on Day 1. On Day 9 he phones the pharmacy at 4pm and asks </w:t>
      </w:r>
      <w:r w:rsidRPr="00843CD3">
        <w:t>you</w:t>
      </w:r>
      <w:r>
        <w:t xml:space="preserve"> what to do because he has missed his morning dose of capecitabine. As well as asking him to inform the doctor at the next visit, you advise him to</w:t>
      </w:r>
      <w:r w:rsidR="005131C5">
        <w:t xml:space="preserve"> </w:t>
      </w:r>
    </w:p>
    <w:p w14:paraId="6A44AAB1" w14:textId="194F68C9" w:rsidR="00560790" w:rsidRPr="00795232" w:rsidRDefault="007C4A02" w:rsidP="007C4A02">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795232">
        <w:t xml:space="preserve">Take the morning dose with the evening dose </w:t>
      </w:r>
    </w:p>
    <w:p w14:paraId="675532FF" w14:textId="44779C4E" w:rsidR="00560790" w:rsidRPr="00795232" w:rsidRDefault="007C4A02" w:rsidP="007C4A02">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795232">
        <w:t>Take the morning dose immediately and the evening dose as normal</w:t>
      </w:r>
    </w:p>
    <w:p w14:paraId="4A9253A7" w14:textId="418DE2F6" w:rsidR="00560790" w:rsidRPr="00795232" w:rsidRDefault="007C4A02" w:rsidP="007C4A02">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795232">
        <w:t>Omit the evening dose today and continue as normal tomorrow</w:t>
      </w:r>
    </w:p>
    <w:p w14:paraId="6AA00089" w14:textId="3B8B2538" w:rsidR="00560790" w:rsidRPr="00795232" w:rsidRDefault="007C4A02" w:rsidP="007C4A02">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795232">
        <w:t xml:space="preserve">Omit the morning dose and take the evening dose as normal </w:t>
      </w:r>
    </w:p>
    <w:p w14:paraId="476EF41D" w14:textId="0FD4B9A7" w:rsidR="00560790" w:rsidRPr="00795232" w:rsidRDefault="007C4A02" w:rsidP="007C4A02">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795232">
        <w:t>Talk to the clinician who prescribed him the chemotherapy</w:t>
      </w:r>
    </w:p>
    <w:p w14:paraId="0697CE49" w14:textId="4ADAB53D" w:rsidR="00560790" w:rsidRDefault="00560790" w:rsidP="00865414">
      <w:pPr>
        <w:pStyle w:val="SecAQ"/>
      </w:pPr>
      <w:r>
        <w:t xml:space="preserve">On </w:t>
      </w:r>
      <w:r w:rsidRPr="00843CD3">
        <w:t>day</w:t>
      </w:r>
      <w:r>
        <w:t xml:space="preserve"> 15, Mr XC phones you again at </w:t>
      </w:r>
      <w:r w:rsidR="00561800">
        <w:t>12 noon</w:t>
      </w:r>
      <w:r>
        <w:t xml:space="preserve"> to say that he has run out of tablets and is not sure about when to get more supply. What should you do next?</w:t>
      </w:r>
      <w:r w:rsidR="005131C5">
        <w:t xml:space="preserve"> </w:t>
      </w:r>
    </w:p>
    <w:p w14:paraId="08D18085" w14:textId="4B26C21A" w:rsidR="00560790" w:rsidRPr="00843CD3" w:rsidRDefault="007C4A02" w:rsidP="007C4A02">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843CD3">
        <w:t xml:space="preserve">Reassure him that he has completed </w:t>
      </w:r>
      <w:r w:rsidR="00561800">
        <w:t>his course and he does not need any further tablets for this cycle</w:t>
      </w:r>
    </w:p>
    <w:p w14:paraId="683C120E" w14:textId="5B96E05A" w:rsidR="00560790" w:rsidRPr="00843CD3" w:rsidRDefault="007C4A02" w:rsidP="007C4A02">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843CD3">
        <w:t xml:space="preserve">Confirm the dose he has been taking, look at pharmacy and prescription records, and then call him back to reassure him that there isn’t a problem and he </w:t>
      </w:r>
      <w:r w:rsidR="00561800">
        <w:t xml:space="preserve">will be given a further supply from the hospital at his </w:t>
      </w:r>
      <w:r w:rsidR="00560790" w:rsidRPr="00843CD3">
        <w:t>next cycle</w:t>
      </w:r>
    </w:p>
    <w:p w14:paraId="638D9593" w14:textId="1A7DBF60" w:rsidR="00560790" w:rsidRPr="00843CD3" w:rsidRDefault="007C4A02" w:rsidP="007C4A02">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843CD3">
        <w:t>Confirm the dose he has been taking, look at pharmacy and prescription records, and then call him back to reassure him that there isn’t a problem and he get some more from his GP who can prescribe some more</w:t>
      </w:r>
    </w:p>
    <w:p w14:paraId="49B01739" w14:textId="28F14367" w:rsidR="00560790" w:rsidRPr="00843CD3" w:rsidRDefault="007C4A02" w:rsidP="007C4A02">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843CD3">
        <w:t xml:space="preserve">Confirm the dose he has been taking, look at pharmacy records, and then tell him to return to the </w:t>
      </w:r>
      <w:r w:rsidR="00561800">
        <w:t xml:space="preserve">hospital </w:t>
      </w:r>
      <w:r w:rsidR="00560790" w:rsidRPr="00843CD3">
        <w:t>pharmacy tomorrow as he may need further supply</w:t>
      </w:r>
    </w:p>
    <w:p w14:paraId="21F3E6F1" w14:textId="4AB385BB" w:rsidR="00560790" w:rsidRPr="00843CD3" w:rsidRDefault="007C4A02" w:rsidP="007C4A02">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843CD3">
        <w:t xml:space="preserve">Confirm the dose he has been taking, look at pharmacy records, and then call him to return to the </w:t>
      </w:r>
      <w:r w:rsidR="00561800">
        <w:t xml:space="preserve">hospital </w:t>
      </w:r>
      <w:r w:rsidR="00560790" w:rsidRPr="00843CD3">
        <w:t>pharmacy immediately as he will need further supply.</w:t>
      </w:r>
    </w:p>
    <w:p w14:paraId="1098A4A3" w14:textId="2A988363" w:rsidR="00560790" w:rsidRDefault="00560790" w:rsidP="00260A99">
      <w:pPr>
        <w:pStyle w:val="SecAQ"/>
      </w:pPr>
      <w:r>
        <w:t xml:space="preserve">Mr </w:t>
      </w:r>
      <w:r w:rsidRPr="00260A99">
        <w:t>XC</w:t>
      </w:r>
      <w:r>
        <w:t xml:space="preserve"> comes back on the ward for cycle 2 and his serum creatinine rises to 130µmol/L.</w:t>
      </w:r>
      <w:r w:rsidR="003F1611">
        <w:t xml:space="preserve"> </w:t>
      </w:r>
      <w:r w:rsidR="003F1611">
        <w:br/>
      </w:r>
      <w:r>
        <w:t xml:space="preserve">What should his </w:t>
      </w:r>
      <w:r w:rsidRPr="005F523F">
        <w:t>recommended</w:t>
      </w:r>
      <w:r>
        <w:t xml:space="preserve"> doses be on cycle 2?</w:t>
      </w:r>
      <w:r w:rsidR="005131C5">
        <w:t xml:space="preserve"> </w:t>
      </w:r>
    </w:p>
    <w:p w14:paraId="4AF0BE35" w14:textId="05BF22EE" w:rsidR="00560790" w:rsidRPr="00843CD3" w:rsidRDefault="007C4A02" w:rsidP="007C4A02">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843CD3">
        <w:t>reduce capecitabine and oxaliplatin by 25%</w:t>
      </w:r>
      <w:r w:rsidR="005F523F" w:rsidRPr="00843CD3">
        <w:t xml:space="preserve"> </w:t>
      </w:r>
    </w:p>
    <w:p w14:paraId="10BDCB8D" w14:textId="535CB9BC" w:rsidR="00560790" w:rsidRPr="00843CD3" w:rsidRDefault="007C4A02" w:rsidP="007C4A02">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843CD3">
        <w:t>leave capecitabine and oxaliplatin at 100%</w:t>
      </w:r>
    </w:p>
    <w:p w14:paraId="5C36A0F6" w14:textId="36D3C558" w:rsidR="00560790" w:rsidRPr="00843CD3" w:rsidRDefault="007C4A02" w:rsidP="007C4A02">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843CD3">
        <w:t>reduce capecitabine by 25% and leave oxaliplatin at 100%</w:t>
      </w:r>
    </w:p>
    <w:p w14:paraId="36C9D4CF" w14:textId="75A58AD3" w:rsidR="00560790" w:rsidRPr="00843CD3" w:rsidRDefault="007C4A02" w:rsidP="007C4A02">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843CD3">
        <w:t>leave capecitabine at 100% and reduce oxaliplatin by 25%</w:t>
      </w:r>
    </w:p>
    <w:p w14:paraId="2EEE69FD" w14:textId="3D33E5C6" w:rsidR="00560790" w:rsidRPr="00843CD3" w:rsidRDefault="007C4A02" w:rsidP="007C4A02">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843CD3">
        <w:t>leave capecitabine at 100% and omit oxaliplatin</w:t>
      </w:r>
    </w:p>
    <w:p w14:paraId="25C9A947" w14:textId="77777777" w:rsidR="00795232" w:rsidRPr="006613ED" w:rsidRDefault="00795232" w:rsidP="006613ED"/>
    <w:p w14:paraId="3421F330" w14:textId="77777777" w:rsidR="006613ED" w:rsidRPr="006613ED" w:rsidRDefault="006613ED" w:rsidP="006613ED">
      <w:r w:rsidRPr="006613ED">
        <w:br w:type="page"/>
      </w:r>
    </w:p>
    <w:p w14:paraId="0B64D13A" w14:textId="1F44F970" w:rsidR="00560790" w:rsidRDefault="00560790" w:rsidP="003F1611">
      <w:pPr>
        <w:pStyle w:val="Heading3"/>
      </w:pPr>
      <w:r>
        <w:t>Non-Small Cell Lung Cancer (NSCLC) Case Study 2</w:t>
      </w:r>
    </w:p>
    <w:p w14:paraId="7BC4077A" w14:textId="02DB215B" w:rsidR="005131C5" w:rsidRPr="005131C5" w:rsidRDefault="005131C5" w:rsidP="00CD6732">
      <w:r>
        <w:rPr>
          <w:b/>
          <w:bCs/>
        </w:rPr>
        <w:t>In this case study, s</w:t>
      </w:r>
      <w:r w:rsidRPr="00656E0D">
        <w:rPr>
          <w:b/>
          <w:bCs/>
        </w:rPr>
        <w:t>elect one answer only from the following</w:t>
      </w:r>
      <w:r>
        <w:rPr>
          <w:b/>
          <w:bCs/>
        </w:rPr>
        <w:t xml:space="preserve"> questions </w:t>
      </w:r>
    </w:p>
    <w:p w14:paraId="35BB4808" w14:textId="77777777" w:rsidR="00560790" w:rsidRPr="003F1611" w:rsidRDefault="00560790" w:rsidP="003F1611">
      <w:r w:rsidRPr="003F1611">
        <w:t xml:space="preserve">In January 2019 Mr Jim Robinson was diagnosed with stage IV NSCLC (adenocarcinoma). </w:t>
      </w:r>
    </w:p>
    <w:p w14:paraId="6CC729F4" w14:textId="77777777" w:rsidR="00560790" w:rsidRPr="003F1611" w:rsidRDefault="00560790" w:rsidP="003E18F5">
      <w:pPr>
        <w:spacing w:after="0"/>
      </w:pPr>
      <w:r w:rsidRPr="003F1611">
        <w:t>NSCLC History:</w:t>
      </w:r>
    </w:p>
    <w:p w14:paraId="2FA167AF" w14:textId="5FD67C3C" w:rsidR="00560790" w:rsidRDefault="00560790" w:rsidP="00BB31B5">
      <w:pPr>
        <w:pStyle w:val="ListParagraph"/>
        <w:numPr>
          <w:ilvl w:val="0"/>
          <w:numId w:val="7"/>
        </w:numPr>
      </w:pPr>
      <w:r>
        <w:t>56 year old male patient, PS 1</w:t>
      </w:r>
    </w:p>
    <w:p w14:paraId="5E1369BB" w14:textId="58DEA134" w:rsidR="00560790" w:rsidRDefault="00560790" w:rsidP="00BB31B5">
      <w:pPr>
        <w:pStyle w:val="ListParagraph"/>
        <w:numPr>
          <w:ilvl w:val="0"/>
          <w:numId w:val="7"/>
        </w:numPr>
      </w:pPr>
      <w:r w:rsidRPr="003F1611">
        <w:rPr>
          <w:b/>
          <w:bCs/>
        </w:rPr>
        <w:t>Jan 2019</w:t>
      </w:r>
      <w:r>
        <w:t>:</w:t>
      </w:r>
      <w:r w:rsidR="005F523F">
        <w:t xml:space="preserve"> </w:t>
      </w:r>
      <w:r>
        <w:t>PET: RUL tumour invading ribs, chest wall and vertebral body. Staging T4N3M1. Received palliative radiotherapy to spine.</w:t>
      </w:r>
    </w:p>
    <w:p w14:paraId="29CC1DE0" w14:textId="2F0944F9" w:rsidR="00560790" w:rsidRDefault="00560790" w:rsidP="00BB31B5">
      <w:pPr>
        <w:pStyle w:val="ListParagraph"/>
        <w:numPr>
          <w:ilvl w:val="0"/>
          <w:numId w:val="7"/>
        </w:numPr>
      </w:pPr>
      <w:r w:rsidRPr="003F1611">
        <w:rPr>
          <w:b/>
          <w:bCs/>
        </w:rPr>
        <w:t>Feb 2019</w:t>
      </w:r>
      <w:r>
        <w:t>: EGFR and ALK negative, PD-L1 positive TPS 60%</w:t>
      </w:r>
    </w:p>
    <w:p w14:paraId="02690BB6" w14:textId="016A2765" w:rsidR="00560790" w:rsidRDefault="00560790" w:rsidP="00BB31B5">
      <w:pPr>
        <w:pStyle w:val="ListParagraph"/>
        <w:numPr>
          <w:ilvl w:val="0"/>
          <w:numId w:val="7"/>
        </w:numPr>
      </w:pPr>
      <w:r w:rsidRPr="003F1611">
        <w:rPr>
          <w:b/>
          <w:bCs/>
        </w:rPr>
        <w:t>Feb 2019</w:t>
      </w:r>
      <w:r>
        <w:t>: Commenced 1st line pembrolizumab</w:t>
      </w:r>
    </w:p>
    <w:p w14:paraId="0E09B2F7" w14:textId="2AF6879B" w:rsidR="00560790" w:rsidRDefault="00560790" w:rsidP="00BB31B5">
      <w:pPr>
        <w:pStyle w:val="SecAQ"/>
        <w:numPr>
          <w:ilvl w:val="0"/>
          <w:numId w:val="8"/>
        </w:numPr>
      </w:pPr>
      <w:r>
        <w:t>What is the mode of action for pembrolizumab</w:t>
      </w:r>
      <w:r w:rsidR="00947184">
        <w:t xml:space="preserve">? </w:t>
      </w:r>
    </w:p>
    <w:p w14:paraId="5B184B9F" w14:textId="3FEAE81C" w:rsidR="00560790" w:rsidRDefault="006613ED" w:rsidP="006613E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t>Binds to the programmed death-2 receptor and blocks its interaction with PD-L1 and PD-L2</w:t>
      </w:r>
    </w:p>
    <w:p w14:paraId="544BB978" w14:textId="21638A0F" w:rsidR="00560790" w:rsidRDefault="006613ED" w:rsidP="006613E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t>Binds to CTLA-4 and blocks its interaction with CD80/CD86 ligand</w:t>
      </w:r>
    </w:p>
    <w:p w14:paraId="283CE762" w14:textId="0042ACAC" w:rsidR="00560790" w:rsidRDefault="006613ED" w:rsidP="006613E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t>Binds to programmed death ligand 1 and blocks the interaction with PD-L1 and PD-L2</w:t>
      </w:r>
    </w:p>
    <w:p w14:paraId="70F66E8C" w14:textId="3A05B8C9" w:rsidR="00560790" w:rsidRDefault="006613ED" w:rsidP="006613E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t>Binds to the programmed death-1 receptor and blocks its interaction with PD-L1 and PD-L2</w:t>
      </w:r>
    </w:p>
    <w:p w14:paraId="353BFA79" w14:textId="357428F3" w:rsidR="00560790" w:rsidRDefault="006613ED" w:rsidP="006613E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t xml:space="preserve">Binds to LAG-3 to and blocks it interaction with major histocompatibility factor II </w:t>
      </w:r>
    </w:p>
    <w:p w14:paraId="27244A9F" w14:textId="7AC45F77" w:rsidR="00560790" w:rsidRDefault="00560790" w:rsidP="00BB31B5">
      <w:pPr>
        <w:pStyle w:val="SecAQ"/>
        <w:numPr>
          <w:ilvl w:val="0"/>
          <w:numId w:val="9"/>
        </w:numPr>
      </w:pPr>
      <w:r>
        <w:t xml:space="preserve">What </w:t>
      </w:r>
      <w:r w:rsidRPr="003F1611">
        <w:t>test</w:t>
      </w:r>
      <w:r>
        <w:t xml:space="preserve"> would you not require prior to pharmacy confirmation of pembrolizumab treatment</w:t>
      </w:r>
      <w:r w:rsidR="002F7BCC">
        <w:t xml:space="preserve">? </w:t>
      </w:r>
    </w:p>
    <w:p w14:paraId="224B1AE4" w14:textId="4772EBF3" w:rsidR="00560790" w:rsidRPr="00795232" w:rsidRDefault="006613ED" w:rsidP="006613E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795232">
        <w:t>Full blood count</w:t>
      </w:r>
    </w:p>
    <w:p w14:paraId="37DA53E0" w14:textId="5A8F53A3" w:rsidR="00560790" w:rsidRPr="00795232" w:rsidRDefault="006613ED" w:rsidP="006613E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795232">
        <w:t>Pulmonary function test</w:t>
      </w:r>
    </w:p>
    <w:p w14:paraId="5549BC5E" w14:textId="47887459" w:rsidR="00560790" w:rsidRPr="00795232" w:rsidRDefault="006613ED" w:rsidP="006613E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795232">
        <w:t>Liver function test</w:t>
      </w:r>
    </w:p>
    <w:p w14:paraId="1F8D7A6B" w14:textId="58E455E5" w:rsidR="00560790" w:rsidRPr="00795232" w:rsidRDefault="006613ED" w:rsidP="006613E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795232">
        <w:t>Thyroid function test</w:t>
      </w:r>
    </w:p>
    <w:p w14:paraId="6DDD3C5F" w14:textId="12B4909D" w:rsidR="00560790" w:rsidRDefault="006613ED" w:rsidP="006613E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795232">
        <w:t>Urea and electrolytes</w:t>
      </w:r>
      <w:r w:rsidR="005F523F" w:rsidRPr="00795232">
        <w:t xml:space="preserve"> </w:t>
      </w:r>
    </w:p>
    <w:p w14:paraId="58154755" w14:textId="447B535A" w:rsidR="00560790" w:rsidRDefault="00560790" w:rsidP="00BB31B5">
      <w:pPr>
        <w:pStyle w:val="SecAQ"/>
        <w:numPr>
          <w:ilvl w:val="0"/>
          <w:numId w:val="10"/>
        </w:numPr>
      </w:pPr>
      <w:r>
        <w:t>What should patients receive prior to starting treatment with pembrolizumab</w:t>
      </w:r>
      <w:r w:rsidR="002F7BCC">
        <w:t xml:space="preserve">? </w:t>
      </w:r>
    </w:p>
    <w:p w14:paraId="435E7B6B" w14:textId="0D70BC0F" w:rsidR="00560790" w:rsidRPr="00795232" w:rsidRDefault="00E47888" w:rsidP="00E47888">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795232">
        <w:t xml:space="preserve">Keytruda Patient Alert Card </w:t>
      </w:r>
    </w:p>
    <w:p w14:paraId="1AB19529" w14:textId="5227EBF2" w:rsidR="00560790" w:rsidRPr="00795232" w:rsidRDefault="00E47888" w:rsidP="00E47888">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795232">
        <w:t>Dental check-up</w:t>
      </w:r>
    </w:p>
    <w:p w14:paraId="29B3FED7" w14:textId="3CE69520" w:rsidR="00560790" w:rsidRPr="00795232" w:rsidRDefault="00E47888" w:rsidP="00E47888">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795232">
        <w:t xml:space="preserve">Measure height and weight </w:t>
      </w:r>
    </w:p>
    <w:p w14:paraId="794459BD" w14:textId="262CF103" w:rsidR="00560790" w:rsidRPr="00795232" w:rsidRDefault="00E47888" w:rsidP="00E47888">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795232">
        <w:t>Counselling on risk of febrile neutropenia</w:t>
      </w:r>
    </w:p>
    <w:p w14:paraId="2F933169" w14:textId="547A8B6D" w:rsidR="00560790" w:rsidRPr="00795232" w:rsidRDefault="00E47888" w:rsidP="00E47888">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795232">
        <w:t>Anti-emetics</w:t>
      </w:r>
    </w:p>
    <w:p w14:paraId="43637DE8" w14:textId="4A3987A6" w:rsidR="00560790" w:rsidRDefault="00560790" w:rsidP="00397379">
      <w:pPr>
        <w:pStyle w:val="SecAQ"/>
        <w:numPr>
          <w:ilvl w:val="0"/>
          <w:numId w:val="23"/>
        </w:numPr>
      </w:pPr>
      <w:r>
        <w:t>Post cycle 3 of pembrolizumab, Mr Robinson developed Grade 2 diarrhoea. What is the correct treatment option for a patient who develops symptoms of 4 to 6 liquid stools over baseline (according to ESMO 2017 guidelines)?</w:t>
      </w:r>
      <w:r w:rsidR="002F7BCC">
        <w:t xml:space="preserve"> </w:t>
      </w:r>
    </w:p>
    <w:p w14:paraId="5AE1FE34" w14:textId="60C390DD" w:rsidR="00560790" w:rsidRPr="00795232" w:rsidRDefault="00E47888" w:rsidP="00E47888">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795232">
        <w:t xml:space="preserve">IV methylprednisolone 0.5-1mg/Kg </w:t>
      </w:r>
    </w:p>
    <w:p w14:paraId="2AE1F153" w14:textId="1A734B48" w:rsidR="00560790" w:rsidRPr="00795232" w:rsidRDefault="00E47888" w:rsidP="00E47888">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795232">
        <w:t xml:space="preserve">IV methylprednisolone 1-2mg/Kg </w:t>
      </w:r>
    </w:p>
    <w:p w14:paraId="38F3CE3A" w14:textId="400F34E1" w:rsidR="00560790" w:rsidRPr="00795232" w:rsidRDefault="00E47888" w:rsidP="00E47888">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795232">
        <w:t xml:space="preserve">IV dexamethasone 0.5-1mg/Kg </w:t>
      </w:r>
    </w:p>
    <w:p w14:paraId="7C3B4F13" w14:textId="75FDF0F2" w:rsidR="00560790" w:rsidRPr="00795232" w:rsidRDefault="00E47888" w:rsidP="00E47888">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795232">
        <w:t xml:space="preserve">Oral prednisolone 0.5-1mg/Kg </w:t>
      </w:r>
    </w:p>
    <w:p w14:paraId="0C6036D7" w14:textId="0F76C4D6" w:rsidR="00560790" w:rsidRPr="00795232" w:rsidRDefault="00E47888" w:rsidP="00E47888">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795232">
        <w:t xml:space="preserve">Oral prednisolone 1-2mg/Kg </w:t>
      </w:r>
    </w:p>
    <w:p w14:paraId="30E3F21A" w14:textId="1C15D0FC" w:rsidR="00560790" w:rsidRDefault="00560790" w:rsidP="00865414">
      <w:pPr>
        <w:pStyle w:val="SecAQ"/>
      </w:pPr>
      <w:r>
        <w:t xml:space="preserve">At Mr Robinson’s weekly follow-up appointment, to manage the diarrhoea the doctor had to increase his steroidal dose. At what point would you advise the clinical team to start prophylaxis for </w:t>
      </w:r>
      <w:r w:rsidRPr="00397379">
        <w:rPr>
          <w:i/>
          <w:iCs/>
        </w:rPr>
        <w:t>pneumocystis jiroveci pneumonia</w:t>
      </w:r>
      <w:r>
        <w:t xml:space="preserve"> (PJP)? </w:t>
      </w:r>
    </w:p>
    <w:p w14:paraId="33CB94FB" w14:textId="4340F90B" w:rsidR="00560790" w:rsidRPr="00795232" w:rsidRDefault="00AF00E5" w:rsidP="00AF00E5">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795232">
        <w:t>When steroidal dose is ≥50 mg prednisolone or equivalent ≥4 weeks is planned</w:t>
      </w:r>
    </w:p>
    <w:p w14:paraId="241F2A3E" w14:textId="570CDC05" w:rsidR="00560790" w:rsidRPr="00795232" w:rsidRDefault="00AF00E5" w:rsidP="00AF00E5">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795232">
        <w:t>When steroidal dose is ≥25 mg prednisolone or equivalent ≥2 weeks is planned</w:t>
      </w:r>
    </w:p>
    <w:p w14:paraId="5AA443D2" w14:textId="6E059C84" w:rsidR="00560790" w:rsidRPr="00795232" w:rsidRDefault="00AF00E5" w:rsidP="00AF00E5">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795232">
        <w:t>When steroidal dose is ≥25 mg prednisolone or equivalent ≥4 weeks is planned</w:t>
      </w:r>
    </w:p>
    <w:p w14:paraId="6ACAAB13" w14:textId="10692003" w:rsidR="00560790" w:rsidRPr="00795232" w:rsidRDefault="00AF00E5" w:rsidP="00AF00E5">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795232">
        <w:t>When steroidal dose is ≥15 mg prednisolone or equivalent ≥2 weeks is planned</w:t>
      </w:r>
    </w:p>
    <w:p w14:paraId="559675F1" w14:textId="76D59A9A" w:rsidR="00560790" w:rsidRPr="00795232" w:rsidRDefault="00AF00E5" w:rsidP="00AF00E5">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795232">
        <w:t>When steroidal dose is ≥15 mg prednisolone or equivalent ≥4 weeks is planned</w:t>
      </w:r>
    </w:p>
    <w:p w14:paraId="52CD691A" w14:textId="0BFF19AF" w:rsidR="00560790" w:rsidRDefault="00560790" w:rsidP="003E6A6E">
      <w:pPr>
        <w:pStyle w:val="SecAQ"/>
      </w:pPr>
      <w:r>
        <w:t xml:space="preserve">If Mr Robinson had developed Grade 3 diarrhoea and the gastroenterology team decided that another form of immunosuppression would be needed to control symptoms, which </w:t>
      </w:r>
      <w:r w:rsidRPr="003E6A6E">
        <w:t>immunosuppression</w:t>
      </w:r>
      <w:r>
        <w:t xml:space="preserve"> would most likely be selected if no contra-indications?</w:t>
      </w:r>
      <w:r w:rsidR="002F7BCC">
        <w:t xml:space="preserve"> </w:t>
      </w:r>
    </w:p>
    <w:p w14:paraId="2D45FA04" w14:textId="07881226" w:rsidR="00560790" w:rsidRPr="00795232" w:rsidRDefault="009B471A" w:rsidP="009B471A">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795232">
        <w:t>Cyclosporin</w:t>
      </w:r>
      <w:r w:rsidR="005F523F" w:rsidRPr="00795232">
        <w:t xml:space="preserve"> </w:t>
      </w:r>
    </w:p>
    <w:p w14:paraId="709530AF" w14:textId="37C909BD" w:rsidR="00560790" w:rsidRPr="00795232" w:rsidRDefault="009B471A" w:rsidP="009B471A">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795232">
        <w:t>Infliximab</w:t>
      </w:r>
    </w:p>
    <w:p w14:paraId="2679A37C" w14:textId="2AAC3564" w:rsidR="00560790" w:rsidRPr="00795232" w:rsidRDefault="009B471A" w:rsidP="009B471A">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795232">
        <w:t>Mycophenolate mofetil</w:t>
      </w:r>
    </w:p>
    <w:p w14:paraId="238193E8" w14:textId="1CD08151" w:rsidR="00560790" w:rsidRPr="00795232" w:rsidRDefault="009B471A" w:rsidP="009B471A">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795232">
        <w:t>Tacrolimus</w:t>
      </w:r>
    </w:p>
    <w:p w14:paraId="3F721D58" w14:textId="2FE653B1" w:rsidR="00560790" w:rsidRPr="00795232" w:rsidRDefault="009B471A" w:rsidP="009B471A">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795232">
        <w:t>Vedolizumab</w:t>
      </w:r>
      <w:r w:rsidR="005F523F" w:rsidRPr="00795232">
        <w:t xml:space="preserve"> </w:t>
      </w:r>
    </w:p>
    <w:p w14:paraId="06012978" w14:textId="548902A6" w:rsidR="00560790" w:rsidRDefault="00560790" w:rsidP="003E6A6E">
      <w:pPr>
        <w:pStyle w:val="SecAQ"/>
        <w:spacing w:before="120"/>
      </w:pPr>
      <w:r>
        <w:t>Nine weeks after the last pembrolizumab dose, the symptoms resolve and the prednisolone dose has been weaned down to 5mg daily. What would be the most likely treatment option for Mr Robinson?</w:t>
      </w:r>
      <w:r w:rsidR="002F7BCC">
        <w:t xml:space="preserve"> </w:t>
      </w:r>
    </w:p>
    <w:p w14:paraId="75A0829C" w14:textId="39509570" w:rsidR="00560790" w:rsidRPr="00795232" w:rsidRDefault="009B471A" w:rsidP="009B471A">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795232">
        <w:t xml:space="preserve">Restart treatment with pembrolizumab as there has been tumour progression </w:t>
      </w:r>
    </w:p>
    <w:p w14:paraId="29BF8658" w14:textId="3F2E5BD8" w:rsidR="00560790" w:rsidRPr="00795232" w:rsidRDefault="009B471A" w:rsidP="009B471A">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795232">
        <w:t>Restart treatment with pembrolizumab as there has been stable disease</w:t>
      </w:r>
    </w:p>
    <w:p w14:paraId="3391B88F" w14:textId="752DEF51" w:rsidR="00560790" w:rsidRPr="00795232" w:rsidRDefault="009B471A" w:rsidP="009B471A">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795232">
        <w:t>No further treatment</w:t>
      </w:r>
    </w:p>
    <w:p w14:paraId="78621093" w14:textId="469FA2B7" w:rsidR="00560790" w:rsidRPr="00795232" w:rsidRDefault="009B471A" w:rsidP="009B471A">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795232">
        <w:t>Switch to erlotinib</w:t>
      </w:r>
    </w:p>
    <w:p w14:paraId="5F0CFD35" w14:textId="35A0D452" w:rsidR="00560790" w:rsidRPr="00795232" w:rsidRDefault="009B471A" w:rsidP="009B471A">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795232">
        <w:t xml:space="preserve">Switch to atezolizumab </w:t>
      </w:r>
    </w:p>
    <w:p w14:paraId="1D99B55F" w14:textId="77777777" w:rsidR="008D248C" w:rsidRPr="003A0E7D" w:rsidRDefault="008D248C" w:rsidP="003A0E7D"/>
    <w:p w14:paraId="081F3458" w14:textId="77777777" w:rsidR="003A0E7D" w:rsidRPr="003A0E7D" w:rsidRDefault="003A0E7D" w:rsidP="003A0E7D">
      <w:r w:rsidRPr="003A0E7D">
        <w:br w:type="page"/>
      </w:r>
    </w:p>
    <w:p w14:paraId="03C4427F" w14:textId="0B564845" w:rsidR="00560790" w:rsidRPr="003E6A6E" w:rsidRDefault="00560790" w:rsidP="003E6A6E">
      <w:pPr>
        <w:pStyle w:val="Heading3"/>
      </w:pPr>
      <w:r w:rsidRPr="003E6A6E">
        <w:t xml:space="preserve">Multiple Myeloma Case Study 3 </w:t>
      </w:r>
    </w:p>
    <w:p w14:paraId="1B37B9A9" w14:textId="77777777" w:rsidR="00560790" w:rsidRPr="003E6A6E" w:rsidRDefault="00560790" w:rsidP="003E6A6E">
      <w:r w:rsidRPr="003E6A6E">
        <w:t>Mr AB, DOB: 07/09/1940</w:t>
      </w:r>
    </w:p>
    <w:p w14:paraId="43DA52B9" w14:textId="77777777" w:rsidR="00560790" w:rsidRPr="008D248C" w:rsidRDefault="00560790" w:rsidP="003E6A6E">
      <w:pPr>
        <w:rPr>
          <w:b/>
          <w:bCs/>
        </w:rPr>
      </w:pPr>
      <w:r w:rsidRPr="008D248C">
        <w:rPr>
          <w:b/>
          <w:bCs/>
        </w:rPr>
        <w:t>Diagnosis</w:t>
      </w:r>
    </w:p>
    <w:p w14:paraId="22A65A9E" w14:textId="4B439B6E" w:rsidR="00560790" w:rsidRDefault="00560790" w:rsidP="003E6A6E">
      <w:r>
        <w:t>IgA kappa multiple myeloma</w:t>
      </w:r>
    </w:p>
    <w:p w14:paraId="62EF2CCC" w14:textId="77777777" w:rsidR="00560790" w:rsidRPr="008D248C" w:rsidRDefault="00560790" w:rsidP="003E6A6E">
      <w:pPr>
        <w:rPr>
          <w:b/>
          <w:bCs/>
        </w:rPr>
      </w:pPr>
      <w:r w:rsidRPr="008D248C">
        <w:rPr>
          <w:b/>
          <w:bCs/>
        </w:rPr>
        <w:t>Medical history</w:t>
      </w:r>
    </w:p>
    <w:p w14:paraId="0C96804E" w14:textId="77777777" w:rsidR="00560790" w:rsidRDefault="00560790" w:rsidP="00303695">
      <w:r>
        <w:t>Initial therapy with 9 cycles CTDa (complicated by thalidomide-related peripheral neuropathy)</w:t>
      </w:r>
    </w:p>
    <w:p w14:paraId="04C4DCEC" w14:textId="77777777" w:rsidR="00560790" w:rsidRDefault="00560790" w:rsidP="00303695">
      <w:r>
        <w:t>Suboptimal response to VCD</w:t>
      </w:r>
    </w:p>
    <w:p w14:paraId="0F5C0023" w14:textId="77777777" w:rsidR="00560790" w:rsidRDefault="00560790" w:rsidP="00303695">
      <w:r>
        <w:t>Biochemical progression LCD</w:t>
      </w:r>
    </w:p>
    <w:p w14:paraId="577DED3F" w14:textId="77777777" w:rsidR="00560790" w:rsidRDefault="00560790" w:rsidP="00303695">
      <w:r>
        <w:t>Switched to pomalidomide/dexamethasone</w:t>
      </w:r>
    </w:p>
    <w:p w14:paraId="3CED9590" w14:textId="349CFE8C" w:rsidR="00560790" w:rsidRDefault="00560790" w:rsidP="00303695">
      <w:r>
        <w:t>Dalteparin related injection site anterior abdominal wall soft tissue infection/abscess requiring therapy interruption; switched to apixaban</w:t>
      </w:r>
    </w:p>
    <w:p w14:paraId="018F912E" w14:textId="77777777" w:rsidR="00560790" w:rsidRPr="00303695" w:rsidRDefault="00560790" w:rsidP="00303695">
      <w:pPr>
        <w:rPr>
          <w:b/>
          <w:bCs/>
        </w:rPr>
      </w:pPr>
      <w:r w:rsidRPr="00303695">
        <w:rPr>
          <w:b/>
          <w:bCs/>
        </w:rPr>
        <w:t>At the clinic visit</w:t>
      </w:r>
    </w:p>
    <w:p w14:paraId="7BC13958" w14:textId="77777777" w:rsidR="00560790" w:rsidRDefault="00560790" w:rsidP="00303695">
      <w:r>
        <w:t>Weight 77.2kg</w:t>
      </w:r>
    </w:p>
    <w:p w14:paraId="30030060" w14:textId="34807FD3" w:rsidR="00560790" w:rsidRDefault="00560790" w:rsidP="00303695">
      <w:r>
        <w:t>White blood cells 2.7, neutrophils 1.2, lymphocytes 0.7, haemoglobin 10.3, platelets 183, ESR 63, CRP 7.5, creatinine 111, eGFR 58, sodium 142, potassium 3.8, calcium adjusted 2.44, bilirubin 19, alkaline phosphatase 67, ALT 19, albumin 43, bilirubin 19, LDH 201, ferritin 155.</w:t>
      </w:r>
    </w:p>
    <w:p w14:paraId="7E324195" w14:textId="77777777" w:rsidR="00560790" w:rsidRPr="00303695" w:rsidRDefault="00560790" w:rsidP="00303695">
      <w:pPr>
        <w:rPr>
          <w:b/>
          <w:bCs/>
        </w:rPr>
      </w:pPr>
      <w:r w:rsidRPr="00303695">
        <w:rPr>
          <w:b/>
          <w:bCs/>
        </w:rPr>
        <w:t>Treatment plan</w:t>
      </w:r>
    </w:p>
    <w:p w14:paraId="690AE1BE" w14:textId="77777777" w:rsidR="00560790" w:rsidRDefault="00560790" w:rsidP="00303695">
      <w:r>
        <w:t>Pomalidomide 4 mg for 21 of 28 day cycle, Dexamethasone 10 mg weekly and Clarithromycin 250 mg twice a day</w:t>
      </w:r>
    </w:p>
    <w:p w14:paraId="61833686" w14:textId="77777777" w:rsidR="00560790" w:rsidRDefault="00560790" w:rsidP="00303695">
      <w:r>
        <w:t>Also to start apixaban, adcal D3 and bisphosphonate</w:t>
      </w:r>
    </w:p>
    <w:p w14:paraId="01CFA03B" w14:textId="42DDBD7B" w:rsidR="00560790" w:rsidRDefault="00560790" w:rsidP="00BB3799">
      <w:pPr>
        <w:pStyle w:val="SecAQ"/>
        <w:numPr>
          <w:ilvl w:val="0"/>
          <w:numId w:val="24"/>
        </w:numPr>
      </w:pPr>
      <w:r>
        <w:t xml:space="preserve">Match </w:t>
      </w:r>
      <w:r w:rsidRPr="003E6A6E">
        <w:t>the</w:t>
      </w:r>
      <w:r>
        <w:t xml:space="preserve"> mode of action to the drug</w:t>
      </w:r>
    </w:p>
    <w:tbl>
      <w:tblPr>
        <w:tblStyle w:val="TableGrid"/>
        <w:tblW w:w="5000" w:type="pct"/>
        <w:tblLook w:val="04A0" w:firstRow="1" w:lastRow="0" w:firstColumn="1" w:lastColumn="0" w:noHBand="0" w:noVBand="1"/>
      </w:tblPr>
      <w:tblGrid>
        <w:gridCol w:w="4316"/>
        <w:gridCol w:w="1619"/>
        <w:gridCol w:w="4485"/>
      </w:tblGrid>
      <w:tr w:rsidR="003E6A6E" w:rsidRPr="003E6A6E" w14:paraId="313A7293" w14:textId="77777777" w:rsidTr="003E6A6E">
        <w:tc>
          <w:tcPr>
            <w:tcW w:w="2071" w:type="pct"/>
          </w:tcPr>
          <w:p w14:paraId="056E50AF" w14:textId="77777777" w:rsidR="003E6A6E" w:rsidRPr="003E6A6E" w:rsidRDefault="003E6A6E" w:rsidP="00F03AFD">
            <w:pPr>
              <w:spacing w:before="0" w:after="0"/>
              <w:rPr>
                <w:b/>
                <w:bCs/>
              </w:rPr>
            </w:pPr>
            <w:r w:rsidRPr="003E6A6E">
              <w:rPr>
                <w:b/>
                <w:bCs/>
              </w:rPr>
              <w:t>Drug name</w:t>
            </w:r>
          </w:p>
        </w:tc>
        <w:tc>
          <w:tcPr>
            <w:tcW w:w="777" w:type="pct"/>
          </w:tcPr>
          <w:p w14:paraId="7419FCE6" w14:textId="77777777" w:rsidR="003E6A6E" w:rsidRPr="003E6A6E" w:rsidRDefault="003E6A6E" w:rsidP="003A0E7D">
            <w:pPr>
              <w:spacing w:before="0" w:after="0"/>
              <w:jc w:val="center"/>
              <w:rPr>
                <w:b/>
                <w:bCs/>
              </w:rPr>
            </w:pPr>
            <w:r w:rsidRPr="003E6A6E">
              <w:rPr>
                <w:b/>
                <w:bCs/>
              </w:rPr>
              <w:t>Answer</w:t>
            </w:r>
          </w:p>
        </w:tc>
        <w:tc>
          <w:tcPr>
            <w:tcW w:w="2152" w:type="pct"/>
          </w:tcPr>
          <w:p w14:paraId="2407EDA8" w14:textId="77777777" w:rsidR="003E6A6E" w:rsidRPr="003E6A6E" w:rsidRDefault="003E6A6E" w:rsidP="00F03AFD">
            <w:pPr>
              <w:spacing w:before="0" w:after="0"/>
              <w:rPr>
                <w:b/>
                <w:bCs/>
              </w:rPr>
            </w:pPr>
            <w:r w:rsidRPr="003E6A6E">
              <w:rPr>
                <w:b/>
                <w:bCs/>
              </w:rPr>
              <w:t>Mode of action</w:t>
            </w:r>
          </w:p>
        </w:tc>
      </w:tr>
      <w:tr w:rsidR="003E6A6E" w:rsidRPr="003E6A6E" w14:paraId="3F5D8DF0" w14:textId="77777777" w:rsidTr="007F2EF3">
        <w:tc>
          <w:tcPr>
            <w:tcW w:w="2071" w:type="pct"/>
          </w:tcPr>
          <w:p w14:paraId="2A4A403B" w14:textId="691FB0C3" w:rsidR="003E6A6E" w:rsidRPr="003E6A6E" w:rsidRDefault="00795232" w:rsidP="00795232">
            <w:r>
              <w:t xml:space="preserve">a) </w:t>
            </w:r>
            <w:r w:rsidR="003E6A6E" w:rsidRPr="003E6A6E">
              <w:t>Cyclophosphamide</w:t>
            </w:r>
          </w:p>
        </w:tc>
        <w:tc>
          <w:tcPr>
            <w:tcW w:w="777" w:type="pct"/>
            <w:vAlign w:val="center"/>
          </w:tcPr>
          <w:p w14:paraId="7D8ECE34" w14:textId="677212EE" w:rsidR="003E6A6E" w:rsidRPr="003E6A6E" w:rsidRDefault="003A0E7D" w:rsidP="007F2EF3">
            <w:pPr>
              <w:spacing w:before="0" w:after="0"/>
              <w:jc w:val="center"/>
            </w:pPr>
            <w:r>
              <w:fldChar w:fldCharType="begin">
                <w:ffData>
                  <w:name w:val="Text2"/>
                  <w:enabled/>
                  <w:calcOnExit w:val="0"/>
                  <w:textInput>
                    <w:maxLength w:val="1"/>
                    <w:format w:val="UPPERCASE"/>
                  </w:textInput>
                </w:ffData>
              </w:fldChar>
            </w:r>
            <w:bookmarkStart w:id="3" w:name="Text2"/>
            <w:r>
              <w:instrText xml:space="preserve"> FORMTEXT </w:instrText>
            </w:r>
            <w:r>
              <w:fldChar w:fldCharType="separate"/>
            </w:r>
            <w:r>
              <w:rPr>
                <w:noProof/>
              </w:rPr>
              <w:t> </w:t>
            </w:r>
            <w:r>
              <w:fldChar w:fldCharType="end"/>
            </w:r>
            <w:bookmarkEnd w:id="3"/>
          </w:p>
        </w:tc>
        <w:tc>
          <w:tcPr>
            <w:tcW w:w="2152" w:type="pct"/>
          </w:tcPr>
          <w:p w14:paraId="6A8998A0" w14:textId="309C623A" w:rsidR="003E6A6E" w:rsidRPr="003E6A6E" w:rsidRDefault="003E6A6E" w:rsidP="00795232">
            <w:r w:rsidRPr="003E6A6E">
              <w:t>A. IgG1κ human monoclonal antibody (mAb) that binds to CD38</w:t>
            </w:r>
          </w:p>
        </w:tc>
      </w:tr>
      <w:tr w:rsidR="003E6A6E" w:rsidRPr="003E6A6E" w14:paraId="1C25C3B4" w14:textId="77777777" w:rsidTr="007F2EF3">
        <w:tc>
          <w:tcPr>
            <w:tcW w:w="2071" w:type="pct"/>
          </w:tcPr>
          <w:p w14:paraId="031B0B01" w14:textId="032ACC5E" w:rsidR="003E6A6E" w:rsidRPr="003E6A6E" w:rsidRDefault="00795232" w:rsidP="00795232">
            <w:r>
              <w:t xml:space="preserve">b) </w:t>
            </w:r>
            <w:r w:rsidR="003E6A6E" w:rsidRPr="00795232">
              <w:t>Bortezomib</w:t>
            </w:r>
          </w:p>
        </w:tc>
        <w:tc>
          <w:tcPr>
            <w:tcW w:w="777" w:type="pct"/>
            <w:vAlign w:val="center"/>
          </w:tcPr>
          <w:p w14:paraId="3F81DE89" w14:textId="358721FA" w:rsidR="003E6A6E" w:rsidRPr="003E6A6E" w:rsidRDefault="003A0E7D" w:rsidP="007F2EF3">
            <w:pPr>
              <w:spacing w:before="0" w:after="0"/>
              <w:jc w:val="center"/>
            </w:pPr>
            <w:r>
              <w:fldChar w:fldCharType="begin">
                <w:ffData>
                  <w:name w:val="Text2"/>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2152" w:type="pct"/>
          </w:tcPr>
          <w:p w14:paraId="7442F7F3" w14:textId="3F9E1385" w:rsidR="003E6A6E" w:rsidRPr="003E6A6E" w:rsidRDefault="003E6A6E" w:rsidP="00795232">
            <w:r w:rsidRPr="003E6A6E">
              <w:t>B. Alkylating agent</w:t>
            </w:r>
          </w:p>
        </w:tc>
      </w:tr>
      <w:tr w:rsidR="003E6A6E" w:rsidRPr="003E6A6E" w14:paraId="7507506B" w14:textId="77777777" w:rsidTr="007F2EF3">
        <w:tc>
          <w:tcPr>
            <w:tcW w:w="2071" w:type="pct"/>
          </w:tcPr>
          <w:p w14:paraId="6FD1A32F" w14:textId="15C8D2EB" w:rsidR="003E6A6E" w:rsidRPr="003E6A6E" w:rsidRDefault="003E6A6E" w:rsidP="00795232">
            <w:r w:rsidRPr="003E6A6E">
              <w:t>c) Pomalidomide</w:t>
            </w:r>
          </w:p>
        </w:tc>
        <w:tc>
          <w:tcPr>
            <w:tcW w:w="777" w:type="pct"/>
            <w:vAlign w:val="center"/>
          </w:tcPr>
          <w:p w14:paraId="586E3743" w14:textId="0E7A23A4" w:rsidR="003E6A6E" w:rsidRPr="003E6A6E" w:rsidRDefault="003A0E7D" w:rsidP="007F2EF3">
            <w:pPr>
              <w:spacing w:before="0" w:after="0"/>
              <w:jc w:val="center"/>
            </w:pPr>
            <w:r>
              <w:fldChar w:fldCharType="begin">
                <w:ffData>
                  <w:name w:val="Text2"/>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2152" w:type="pct"/>
          </w:tcPr>
          <w:p w14:paraId="174AE27B" w14:textId="60270D70" w:rsidR="003E6A6E" w:rsidRPr="003E6A6E" w:rsidRDefault="003E6A6E" w:rsidP="00795232">
            <w:r w:rsidRPr="003E6A6E">
              <w:t>C. Histone deacetylase (HDAC) inhibitor</w:t>
            </w:r>
          </w:p>
        </w:tc>
      </w:tr>
      <w:tr w:rsidR="003E6A6E" w:rsidRPr="003E6A6E" w14:paraId="6A129A6C" w14:textId="77777777" w:rsidTr="007F2EF3">
        <w:tc>
          <w:tcPr>
            <w:tcW w:w="2071" w:type="pct"/>
          </w:tcPr>
          <w:p w14:paraId="34A5097D" w14:textId="1B943094" w:rsidR="003E6A6E" w:rsidRPr="003E6A6E" w:rsidRDefault="003E6A6E" w:rsidP="00795232">
            <w:r w:rsidRPr="003E6A6E">
              <w:t>d) Daratumumab</w:t>
            </w:r>
          </w:p>
        </w:tc>
        <w:tc>
          <w:tcPr>
            <w:tcW w:w="777" w:type="pct"/>
            <w:vAlign w:val="center"/>
          </w:tcPr>
          <w:p w14:paraId="3A69DA8D" w14:textId="49181147" w:rsidR="003E6A6E" w:rsidRPr="003E6A6E" w:rsidRDefault="003A0E7D" w:rsidP="007F2EF3">
            <w:pPr>
              <w:spacing w:before="0" w:after="0"/>
              <w:jc w:val="center"/>
            </w:pPr>
            <w:r>
              <w:fldChar w:fldCharType="begin">
                <w:ffData>
                  <w:name w:val="Text2"/>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2152" w:type="pct"/>
          </w:tcPr>
          <w:p w14:paraId="09F21A68" w14:textId="1FD3B71A" w:rsidR="003E6A6E" w:rsidRPr="003E6A6E" w:rsidRDefault="003E6A6E" w:rsidP="00795232">
            <w:r w:rsidRPr="003E6A6E">
              <w:t>D. Immunomodulatory agent</w:t>
            </w:r>
          </w:p>
        </w:tc>
      </w:tr>
      <w:tr w:rsidR="003E6A6E" w:rsidRPr="003E6A6E" w14:paraId="3F05F343" w14:textId="77777777" w:rsidTr="007F2EF3">
        <w:tc>
          <w:tcPr>
            <w:tcW w:w="2071" w:type="pct"/>
          </w:tcPr>
          <w:p w14:paraId="66BB0DE1" w14:textId="0C55CB83" w:rsidR="003E6A6E" w:rsidRPr="003E6A6E" w:rsidRDefault="003E6A6E" w:rsidP="00795232">
            <w:r w:rsidRPr="003E6A6E">
              <w:t>e) Panobinostat</w:t>
            </w:r>
          </w:p>
        </w:tc>
        <w:tc>
          <w:tcPr>
            <w:tcW w:w="777" w:type="pct"/>
            <w:vAlign w:val="center"/>
          </w:tcPr>
          <w:p w14:paraId="3110591D" w14:textId="1AE2BEA7" w:rsidR="003E6A6E" w:rsidRPr="003E6A6E" w:rsidRDefault="003A0E7D" w:rsidP="007F2EF3">
            <w:pPr>
              <w:spacing w:before="0" w:after="0"/>
              <w:jc w:val="center"/>
            </w:pPr>
            <w:r>
              <w:fldChar w:fldCharType="begin">
                <w:ffData>
                  <w:name w:val="Text2"/>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2152" w:type="pct"/>
          </w:tcPr>
          <w:p w14:paraId="5B378859" w14:textId="78CFDDDE" w:rsidR="003E6A6E" w:rsidRPr="003E6A6E" w:rsidRDefault="003E6A6E" w:rsidP="00795232">
            <w:r w:rsidRPr="003E6A6E">
              <w:t>E. Proteosome inhibitor</w:t>
            </w:r>
          </w:p>
        </w:tc>
      </w:tr>
    </w:tbl>
    <w:p w14:paraId="02BDFD62" w14:textId="0ED4075A" w:rsidR="00560790" w:rsidRDefault="00560790" w:rsidP="00BB3799">
      <w:pPr>
        <w:pStyle w:val="SecAQ"/>
      </w:pPr>
      <w:r>
        <w:t>Choose the forms that need to be completed before EACH pomalidomide dispensing (select all that apply)</w:t>
      </w:r>
    </w:p>
    <w:p w14:paraId="4DAE4170" w14:textId="17E91CED" w:rsidR="00560790" w:rsidRPr="003E6A6E"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3E6A6E">
        <w:t>Treatment Initiation Form</w:t>
      </w:r>
    </w:p>
    <w:p w14:paraId="31113F4E" w14:textId="354151EB" w:rsidR="00560790" w:rsidRPr="003E6A6E"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3E6A6E">
        <w:t>Prescription Authorisation Form</w:t>
      </w:r>
    </w:p>
    <w:p w14:paraId="7DB6671A" w14:textId="4ED486DD" w:rsidR="00560790" w:rsidRPr="003E6A6E"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3E6A6E">
        <w:t>Patient Pocket Information Card</w:t>
      </w:r>
    </w:p>
    <w:p w14:paraId="599E537E" w14:textId="7D678BB3" w:rsidR="00560790" w:rsidRPr="003E6A6E"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3E6A6E">
        <w:t>VTE risk assessment</w:t>
      </w:r>
    </w:p>
    <w:p w14:paraId="5CFD04ED" w14:textId="68EB662B" w:rsidR="00560790"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3E6A6E">
        <w:t>Pregnancy Prevention Programme pharmacy registration form</w:t>
      </w:r>
    </w:p>
    <w:p w14:paraId="71B2D06F" w14:textId="610C4F27" w:rsidR="00560790" w:rsidRDefault="00560790" w:rsidP="003E6A6E">
      <w:pPr>
        <w:pStyle w:val="SecAQ"/>
      </w:pPr>
      <w:r w:rsidRPr="003E6A6E">
        <w:t>Pomalidomide</w:t>
      </w:r>
      <w:r>
        <w:t xml:space="preserve"> caused the following side effects (select all that apply)</w:t>
      </w:r>
    </w:p>
    <w:p w14:paraId="73F33871" w14:textId="59FF4527" w:rsidR="00560790" w:rsidRPr="003E6A6E"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3E6A6E">
        <w:t>Neutropenia</w:t>
      </w:r>
    </w:p>
    <w:p w14:paraId="54C94CA6" w14:textId="08A584A7" w:rsidR="00560790" w:rsidRPr="003E6A6E"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3E6A6E">
        <w:t>Thrombocytopenia</w:t>
      </w:r>
    </w:p>
    <w:p w14:paraId="498E510C" w14:textId="39FA4726" w:rsidR="00560790" w:rsidRPr="003E6A6E"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3E6A6E">
        <w:t>Neuropathy</w:t>
      </w:r>
    </w:p>
    <w:p w14:paraId="73C823E8" w14:textId="378E7BF3" w:rsidR="00560790" w:rsidRPr="003E6A6E"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3E6A6E">
        <w:t>Thrombotic risk</w:t>
      </w:r>
    </w:p>
    <w:p w14:paraId="557B849C" w14:textId="0865823F" w:rsidR="00560790" w:rsidRPr="003E6A6E"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3E6A6E">
        <w:t>Somnolence</w:t>
      </w:r>
    </w:p>
    <w:p w14:paraId="25B244D5" w14:textId="0417C7C9" w:rsidR="00560790" w:rsidRDefault="00560790" w:rsidP="003E6A6E">
      <w:pPr>
        <w:pStyle w:val="SecAQ"/>
      </w:pPr>
      <w:r>
        <w:t>The clinical features of multiple myeloma include (select all that apply)</w:t>
      </w:r>
    </w:p>
    <w:p w14:paraId="4307551A" w14:textId="23EAB831" w:rsidR="00560790" w:rsidRPr="003E6A6E"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3E6A6E">
        <w:t>Renal impairment</w:t>
      </w:r>
    </w:p>
    <w:p w14:paraId="0B58A95B" w14:textId="0D6FEAAC" w:rsidR="00560790" w:rsidRPr="003E6A6E"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3E6A6E">
        <w:t>Hypercalcaemia</w:t>
      </w:r>
    </w:p>
    <w:p w14:paraId="6365B28B" w14:textId="5AE01816" w:rsidR="00560790" w:rsidRPr="003E6A6E"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3E6A6E">
        <w:t>Anaemia</w:t>
      </w:r>
    </w:p>
    <w:p w14:paraId="4F7F57F6" w14:textId="4C0D5309" w:rsidR="00560790" w:rsidRPr="003E6A6E"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3E6A6E">
        <w:t>Recurrent infections</w:t>
      </w:r>
    </w:p>
    <w:p w14:paraId="33D254F2" w14:textId="3F492739" w:rsidR="00560790"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3E6A6E">
        <w:t>Headache</w:t>
      </w:r>
    </w:p>
    <w:p w14:paraId="27119445" w14:textId="1E8E06F0" w:rsidR="00560790" w:rsidRDefault="00560790" w:rsidP="003E6A6E">
      <w:pPr>
        <w:pStyle w:val="SecAQ"/>
      </w:pPr>
      <w:r>
        <w:t xml:space="preserve">Thalidomide, </w:t>
      </w:r>
      <w:r w:rsidRPr="003E6A6E">
        <w:t>lenalidomide</w:t>
      </w:r>
      <w:r>
        <w:t xml:space="preserve"> and pomalidomide are all teratogenic drugs. Which </w:t>
      </w:r>
      <w:r w:rsidR="00947184">
        <w:t xml:space="preserve">one </w:t>
      </w:r>
      <w:r>
        <w:t>of the following statement</w:t>
      </w:r>
      <w:r w:rsidR="00947184">
        <w:t>s</w:t>
      </w:r>
      <w:r>
        <w:t xml:space="preserve"> is false? </w:t>
      </w:r>
      <w:r w:rsidR="005131C5">
        <w:t>(select one)</w:t>
      </w:r>
    </w:p>
    <w:p w14:paraId="6871D210" w14:textId="17F7D911" w:rsidR="00560790" w:rsidRPr="003E6A6E"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a) </w:t>
      </w:r>
      <w:r w:rsidR="00560790" w:rsidRPr="003E6A6E">
        <w:t>A prescription authorisation form (PAF) must accompany each prescription for all 3 drugs</w:t>
      </w:r>
    </w:p>
    <w:p w14:paraId="71949616" w14:textId="33318CA9" w:rsidR="00560790" w:rsidRPr="003E6A6E"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b) </w:t>
      </w:r>
      <w:r w:rsidR="00560790" w:rsidRPr="003E6A6E">
        <w:t>A maximum of 4 weeks supply can be issued of these drugs at any one time to a woman of child bearing potential.</w:t>
      </w:r>
    </w:p>
    <w:p w14:paraId="6C4EC7DF" w14:textId="628373E3" w:rsidR="00560790" w:rsidRPr="003E6A6E"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c) </w:t>
      </w:r>
      <w:r w:rsidR="00560790" w:rsidRPr="003E6A6E">
        <w:t>Dispensing must take place within 7 days of the date of prescribing for all 3 drugs.</w:t>
      </w:r>
    </w:p>
    <w:p w14:paraId="255695D9" w14:textId="3B64DA92" w:rsidR="00560790" w:rsidRPr="003E6A6E"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d) </w:t>
      </w:r>
      <w:r w:rsidR="00560790" w:rsidRPr="003E6A6E">
        <w:t>Pregnancy testing must take place within 7 days of the date of dispensing for all 3 drugs.</w:t>
      </w:r>
    </w:p>
    <w:p w14:paraId="11372A0C" w14:textId="62F02546" w:rsidR="00142C3E" w:rsidRPr="00142C3E" w:rsidRDefault="003A0E7D" w:rsidP="003A0E7D">
      <w:pPr>
        <w:pStyle w:val="Answers"/>
      </w:pPr>
      <w:r>
        <w:fldChar w:fldCharType="begin">
          <w:ffData>
            <w:name w:val="Check1"/>
            <w:enabled/>
            <w:calcOnExit w:val="0"/>
            <w:checkBox>
              <w:sizeAuto/>
              <w:default w:val="0"/>
            </w:checkBox>
          </w:ffData>
        </w:fldChar>
      </w:r>
      <w:r>
        <w:instrText xml:space="preserve"> FORMCHECKBOX </w:instrText>
      </w:r>
      <w:r w:rsidR="006076ED">
        <w:fldChar w:fldCharType="separate"/>
      </w:r>
      <w:r>
        <w:fldChar w:fldCharType="end"/>
      </w:r>
      <w:r>
        <w:t xml:space="preserve">   e) </w:t>
      </w:r>
      <w:r w:rsidR="00560790" w:rsidRPr="003E6A6E">
        <w:t>Patients sta</w:t>
      </w:r>
      <w:r w:rsidR="00560790">
        <w:t>rting treatment must sign a treatment initiation form</w:t>
      </w:r>
    </w:p>
    <w:sectPr w:rsidR="00142C3E" w:rsidRPr="00142C3E" w:rsidSect="00F84CAB">
      <w:headerReference w:type="default" r:id="rId9"/>
      <w:footerReference w:type="default" r:id="rId10"/>
      <w:headerReference w:type="first" r:id="rId11"/>
      <w:pgSz w:w="11906" w:h="16838" w:code="9"/>
      <w:pgMar w:top="1418" w:right="851" w:bottom="1134" w:left="85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A00F3" w14:textId="77777777" w:rsidR="00561800" w:rsidRDefault="00561800">
      <w:r>
        <w:separator/>
      </w:r>
    </w:p>
  </w:endnote>
  <w:endnote w:type="continuationSeparator" w:id="0">
    <w:p w14:paraId="5ED55333" w14:textId="77777777" w:rsidR="00561800" w:rsidRDefault="0056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4BC3B" w14:textId="2D4CF106" w:rsidR="00561800" w:rsidRDefault="00561800" w:rsidP="00F03AFD">
    <w:pPr>
      <w:pStyle w:val="Footer"/>
    </w:pPr>
    <w:r w:rsidRPr="00B76FB8">
      <w:rPr>
        <w:rStyle w:val="PageNumber"/>
      </w:rPr>
      <w:fldChar w:fldCharType="begin"/>
    </w:r>
    <w:r w:rsidRPr="00B76FB8">
      <w:rPr>
        <w:rStyle w:val="PageNumber"/>
      </w:rPr>
      <w:instrText xml:space="preserve"> PAGE </w:instrText>
    </w:r>
    <w:r w:rsidRPr="00B76FB8">
      <w:rPr>
        <w:rStyle w:val="PageNumber"/>
      </w:rPr>
      <w:fldChar w:fldCharType="separate"/>
    </w:r>
    <w:r w:rsidR="006076ED">
      <w:rPr>
        <w:rStyle w:val="PageNumber"/>
        <w:noProof/>
      </w:rPr>
      <w:t>2</w:t>
    </w:r>
    <w:r w:rsidRPr="00B76FB8">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720AD" w14:textId="77777777" w:rsidR="00561800" w:rsidRDefault="00561800">
      <w:r>
        <w:separator/>
      </w:r>
    </w:p>
  </w:footnote>
  <w:footnote w:type="continuationSeparator" w:id="0">
    <w:p w14:paraId="04CA0EC3" w14:textId="77777777" w:rsidR="00561800" w:rsidRDefault="00561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67A11" w14:textId="42A45F7F" w:rsidR="00561800" w:rsidRDefault="006076ED">
    <w:pPr>
      <w:pStyle w:val="Header"/>
    </w:pPr>
    <w:r>
      <w:fldChar w:fldCharType="begin"/>
    </w:r>
    <w:r>
      <w:instrText xml:space="preserve"> STYLEREF "Heading 1" \* MERGEFORMAT </w:instrText>
    </w:r>
    <w:r>
      <w:fldChar w:fldCharType="separate"/>
    </w:r>
    <w:r>
      <w:rPr>
        <w:noProof/>
      </w:rPr>
      <w:t>SACT Prescription Verification Multiple Choice Question (MCQ) Test</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7F7D8" w14:textId="1B7AC463" w:rsidR="00561800" w:rsidRDefault="00561800" w:rsidP="00F03AFD">
    <w:pPr>
      <w:pStyle w:val="Header"/>
    </w:pPr>
    <w:r>
      <w:rPr>
        <w:noProof/>
      </w:rPr>
      <w:drawing>
        <wp:anchor distT="0" distB="0" distL="114300" distR="114300" simplePos="0" relativeHeight="251662336" behindDoc="0" locked="0" layoutInCell="1" allowOverlap="1" wp14:anchorId="27D0096F" wp14:editId="2320F354">
          <wp:simplePos x="0" y="0"/>
          <wp:positionH relativeFrom="margin">
            <wp:posOffset>1992630</wp:posOffset>
          </wp:positionH>
          <wp:positionV relativeFrom="paragraph">
            <wp:posOffset>36830</wp:posOffset>
          </wp:positionV>
          <wp:extent cx="1986915" cy="719455"/>
          <wp:effectExtent l="0" t="0" r="0" b="44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LCA REMAKE 2019.png"/>
                  <pic:cNvPicPr/>
                </pic:nvPicPr>
                <pic:blipFill>
                  <a:blip r:embed="rId1"/>
                  <a:stretch>
                    <a:fillRect/>
                  </a:stretch>
                </pic:blipFill>
                <pic:spPr>
                  <a:xfrm>
                    <a:off x="0" y="0"/>
                    <a:ext cx="1986915" cy="719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4E528CC" wp14:editId="0482CD28">
          <wp:simplePos x="0" y="0"/>
          <wp:positionH relativeFrom="margin">
            <wp:align>right</wp:align>
          </wp:positionH>
          <wp:positionV relativeFrom="paragraph">
            <wp:posOffset>-1905</wp:posOffset>
          </wp:positionV>
          <wp:extent cx="2208282" cy="720000"/>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EL-Cancer-Alliance-logo-lr.jpg"/>
                  <pic:cNvPicPr/>
                </pic:nvPicPr>
                <pic:blipFill>
                  <a:blip r:embed="rId2"/>
                  <a:stretch>
                    <a:fillRect/>
                  </a:stretch>
                </pic:blipFill>
                <pic:spPr>
                  <a:xfrm>
                    <a:off x="0" y="0"/>
                    <a:ext cx="2208282"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49F2572" wp14:editId="76988639">
          <wp:simplePos x="0" y="0"/>
          <wp:positionH relativeFrom="column">
            <wp:posOffset>3175</wp:posOffset>
          </wp:positionH>
          <wp:positionV relativeFrom="paragraph">
            <wp:posOffset>0</wp:posOffset>
          </wp:positionV>
          <wp:extent cx="1627084" cy="7560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P_ACN.png"/>
                  <pic:cNvPicPr/>
                </pic:nvPicPr>
                <pic:blipFill>
                  <a:blip r:embed="rId3">
                    <a:extLst>
                      <a:ext uri="{28A0092B-C50C-407E-A947-70E740481C1C}">
                        <a14:useLocalDpi xmlns:a14="http://schemas.microsoft.com/office/drawing/2010/main" val="0"/>
                      </a:ext>
                    </a:extLst>
                  </a:blip>
                  <a:stretch>
                    <a:fillRect/>
                  </a:stretch>
                </pic:blipFill>
                <pic:spPr>
                  <a:xfrm>
                    <a:off x="0" y="0"/>
                    <a:ext cx="1627084"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32D4EE"/>
    <w:lvl w:ilvl="0">
      <w:start w:val="1"/>
      <w:numFmt w:val="decimal"/>
      <w:lvlText w:val="%1."/>
      <w:lvlJc w:val="left"/>
      <w:pPr>
        <w:tabs>
          <w:tab w:val="num" w:pos="1492"/>
        </w:tabs>
        <w:ind w:left="1492" w:hanging="360"/>
      </w:pPr>
    </w:lvl>
  </w:abstractNum>
  <w:abstractNum w:abstractNumId="1">
    <w:nsid w:val="FFFFFF7D"/>
    <w:multiLevelType w:val="singleLevel"/>
    <w:tmpl w:val="41FCB2DC"/>
    <w:lvl w:ilvl="0">
      <w:start w:val="1"/>
      <w:numFmt w:val="decimal"/>
      <w:lvlText w:val="%1."/>
      <w:lvlJc w:val="left"/>
      <w:pPr>
        <w:tabs>
          <w:tab w:val="num" w:pos="1209"/>
        </w:tabs>
        <w:ind w:left="1209" w:hanging="360"/>
      </w:pPr>
    </w:lvl>
  </w:abstractNum>
  <w:abstractNum w:abstractNumId="2">
    <w:nsid w:val="FFFFFF7E"/>
    <w:multiLevelType w:val="singleLevel"/>
    <w:tmpl w:val="4384850C"/>
    <w:lvl w:ilvl="0">
      <w:start w:val="1"/>
      <w:numFmt w:val="decimal"/>
      <w:lvlText w:val="%1."/>
      <w:lvlJc w:val="left"/>
      <w:pPr>
        <w:tabs>
          <w:tab w:val="num" w:pos="926"/>
        </w:tabs>
        <w:ind w:left="926" w:hanging="360"/>
      </w:pPr>
    </w:lvl>
  </w:abstractNum>
  <w:abstractNum w:abstractNumId="3">
    <w:nsid w:val="FFFFFF7F"/>
    <w:multiLevelType w:val="singleLevel"/>
    <w:tmpl w:val="AEA47478"/>
    <w:lvl w:ilvl="0">
      <w:start w:val="1"/>
      <w:numFmt w:val="decimal"/>
      <w:lvlText w:val="%1."/>
      <w:lvlJc w:val="left"/>
      <w:pPr>
        <w:tabs>
          <w:tab w:val="num" w:pos="643"/>
        </w:tabs>
        <w:ind w:left="643" w:hanging="360"/>
      </w:pPr>
    </w:lvl>
  </w:abstractNum>
  <w:abstractNum w:abstractNumId="4">
    <w:nsid w:val="FFFFFF80"/>
    <w:multiLevelType w:val="singleLevel"/>
    <w:tmpl w:val="F88A79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AAFE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34C8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66A8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10650C"/>
    <w:lvl w:ilvl="0">
      <w:start w:val="1"/>
      <w:numFmt w:val="decimal"/>
      <w:lvlText w:val="%1."/>
      <w:lvlJc w:val="left"/>
      <w:pPr>
        <w:tabs>
          <w:tab w:val="num" w:pos="360"/>
        </w:tabs>
        <w:ind w:left="360" w:hanging="360"/>
      </w:pPr>
    </w:lvl>
  </w:abstractNum>
  <w:abstractNum w:abstractNumId="9">
    <w:nsid w:val="FFFFFF89"/>
    <w:multiLevelType w:val="singleLevel"/>
    <w:tmpl w:val="7A9655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7137F8"/>
    <w:multiLevelType w:val="multilevel"/>
    <w:tmpl w:val="2C88E7AE"/>
    <w:lvl w:ilvl="0">
      <w:start w:val="1"/>
      <w:numFmt w:val="decimal"/>
      <w:lvlText w:val="%1)"/>
      <w:lvlJc w:val="left"/>
      <w:pPr>
        <w:ind w:left="360" w:hanging="360"/>
      </w:pPr>
      <w:rPr>
        <w:rFonts w:hint="default"/>
      </w:rPr>
    </w:lvl>
    <w:lvl w:ilvl="1">
      <w:start w:val="1"/>
      <w:numFmt w:val="lowerLetter"/>
      <w:pStyle w:val="ListParagraph"/>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BF7CD4"/>
    <w:multiLevelType w:val="multilevel"/>
    <w:tmpl w:val="A1166B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43D220E"/>
    <w:multiLevelType w:val="multilevel"/>
    <w:tmpl w:val="2F0418E2"/>
    <w:styleLink w:val="StyleBulleted"/>
    <w:lvl w:ilvl="0">
      <w:start w:val="1"/>
      <w:numFmt w:val="bullet"/>
      <w:lvlText w:val=""/>
      <w:lvlJc w:val="left"/>
      <w:pPr>
        <w:tabs>
          <w:tab w:val="num" w:pos="0"/>
        </w:tabs>
        <w:ind w:left="720" w:hanging="360"/>
      </w:pPr>
      <w:rPr>
        <w:rFonts w:ascii="Symbol" w:hAnsi="Symbol" w:hint="default"/>
        <w:dstrike w:val="0"/>
        <w:sz w:val="22"/>
        <w:szCs w:val="22"/>
        <w:vertAlign w:val="baseline"/>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3">
    <w:nsid w:val="1A207B5F"/>
    <w:multiLevelType w:val="multilevel"/>
    <w:tmpl w:val="F364D72A"/>
    <w:lvl w:ilvl="0">
      <w:start w:val="1"/>
      <w:numFmt w:val="decimal"/>
      <w:lvlText w:val="%1)"/>
      <w:lvlJc w:val="left"/>
      <w:pPr>
        <w:ind w:left="360" w:hanging="360"/>
      </w:pPr>
      <w:rPr>
        <w:rFonts w:hint="default"/>
      </w:rPr>
    </w:lvl>
    <w:lvl w:ilvl="1">
      <w:start w:val="1"/>
      <w:numFmt w:val="lowerLetter"/>
      <w:lvlText w:val="%2)"/>
      <w:lvlJc w:val="left"/>
      <w:pPr>
        <w:ind w:left="206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48D78D3"/>
    <w:multiLevelType w:val="multilevel"/>
    <w:tmpl w:val="7E620DF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BF714C"/>
    <w:multiLevelType w:val="multilevel"/>
    <w:tmpl w:val="03E237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90A7859"/>
    <w:multiLevelType w:val="multilevel"/>
    <w:tmpl w:val="AE766ACA"/>
    <w:lvl w:ilvl="0">
      <w:start w:val="1"/>
      <w:numFmt w:val="decimal"/>
      <w:pStyle w:val="SecAQ"/>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2684E35"/>
    <w:multiLevelType w:val="hybridMultilevel"/>
    <w:tmpl w:val="B9B8726A"/>
    <w:lvl w:ilvl="0" w:tplc="0CD6E11E">
      <w:start w:val="5"/>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7"/>
  </w:num>
  <w:num w:numId="4">
    <w:abstractNumId w:val="10"/>
  </w:num>
  <w:num w:numId="5">
    <w:abstractNumId w:val="16"/>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15"/>
  </w:num>
  <w:num w:numId="2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55"/>
    <w:rsid w:val="00023589"/>
    <w:rsid w:val="00041D3A"/>
    <w:rsid w:val="00067370"/>
    <w:rsid w:val="0009568B"/>
    <w:rsid w:val="00127AE9"/>
    <w:rsid w:val="00142C3E"/>
    <w:rsid w:val="00143F8A"/>
    <w:rsid w:val="00184726"/>
    <w:rsid w:val="001A4D52"/>
    <w:rsid w:val="001E4131"/>
    <w:rsid w:val="00200940"/>
    <w:rsid w:val="00260A99"/>
    <w:rsid w:val="0029420D"/>
    <w:rsid w:val="002C4CD6"/>
    <w:rsid w:val="002F7BCC"/>
    <w:rsid w:val="00303695"/>
    <w:rsid w:val="00304F06"/>
    <w:rsid w:val="0035441B"/>
    <w:rsid w:val="00397379"/>
    <w:rsid w:val="003A0E7D"/>
    <w:rsid w:val="003E18F5"/>
    <w:rsid w:val="003E6A6E"/>
    <w:rsid w:val="003F1611"/>
    <w:rsid w:val="004217D6"/>
    <w:rsid w:val="00424A7F"/>
    <w:rsid w:val="00433953"/>
    <w:rsid w:val="00437B8E"/>
    <w:rsid w:val="00444786"/>
    <w:rsid w:val="004574A2"/>
    <w:rsid w:val="00460BC1"/>
    <w:rsid w:val="00467637"/>
    <w:rsid w:val="004720DC"/>
    <w:rsid w:val="0047421D"/>
    <w:rsid w:val="004A3FD0"/>
    <w:rsid w:val="004C4E9C"/>
    <w:rsid w:val="005131C5"/>
    <w:rsid w:val="00533CC4"/>
    <w:rsid w:val="00535C8A"/>
    <w:rsid w:val="005521C2"/>
    <w:rsid w:val="00560790"/>
    <w:rsid w:val="00561168"/>
    <w:rsid w:val="00561800"/>
    <w:rsid w:val="00583390"/>
    <w:rsid w:val="005A2DE9"/>
    <w:rsid w:val="005F1AC4"/>
    <w:rsid w:val="005F523F"/>
    <w:rsid w:val="006008C4"/>
    <w:rsid w:val="006076ED"/>
    <w:rsid w:val="00654D3E"/>
    <w:rsid w:val="00656628"/>
    <w:rsid w:val="00656E0D"/>
    <w:rsid w:val="006613ED"/>
    <w:rsid w:val="006D4367"/>
    <w:rsid w:val="006F3771"/>
    <w:rsid w:val="0071785C"/>
    <w:rsid w:val="00722994"/>
    <w:rsid w:val="00724A2B"/>
    <w:rsid w:val="00795232"/>
    <w:rsid w:val="007B0EDC"/>
    <w:rsid w:val="007C4A02"/>
    <w:rsid w:val="007F2EF3"/>
    <w:rsid w:val="00842AA3"/>
    <w:rsid w:val="00843CD3"/>
    <w:rsid w:val="0084648D"/>
    <w:rsid w:val="00865414"/>
    <w:rsid w:val="00874D63"/>
    <w:rsid w:val="008925DF"/>
    <w:rsid w:val="008A25DD"/>
    <w:rsid w:val="008C17E0"/>
    <w:rsid w:val="008D0BEB"/>
    <w:rsid w:val="008D248C"/>
    <w:rsid w:val="00907598"/>
    <w:rsid w:val="0093027E"/>
    <w:rsid w:val="00947184"/>
    <w:rsid w:val="0097527E"/>
    <w:rsid w:val="0097570A"/>
    <w:rsid w:val="009B471A"/>
    <w:rsid w:val="009C1C63"/>
    <w:rsid w:val="009E1225"/>
    <w:rsid w:val="00A27520"/>
    <w:rsid w:val="00A54B07"/>
    <w:rsid w:val="00AC6EF3"/>
    <w:rsid w:val="00AE7357"/>
    <w:rsid w:val="00AF00E5"/>
    <w:rsid w:val="00AF402F"/>
    <w:rsid w:val="00B00E1C"/>
    <w:rsid w:val="00B26F72"/>
    <w:rsid w:val="00B30B58"/>
    <w:rsid w:val="00B616B0"/>
    <w:rsid w:val="00B81D6D"/>
    <w:rsid w:val="00B97131"/>
    <w:rsid w:val="00BA601B"/>
    <w:rsid w:val="00BB31B5"/>
    <w:rsid w:val="00BB3799"/>
    <w:rsid w:val="00BD2A4D"/>
    <w:rsid w:val="00BD3F6A"/>
    <w:rsid w:val="00BF5708"/>
    <w:rsid w:val="00C41EB7"/>
    <w:rsid w:val="00C46CB7"/>
    <w:rsid w:val="00C97224"/>
    <w:rsid w:val="00CD6732"/>
    <w:rsid w:val="00CF7B55"/>
    <w:rsid w:val="00D00E81"/>
    <w:rsid w:val="00D666E4"/>
    <w:rsid w:val="00D6688C"/>
    <w:rsid w:val="00D82664"/>
    <w:rsid w:val="00E03E8B"/>
    <w:rsid w:val="00E10A7D"/>
    <w:rsid w:val="00E13F6E"/>
    <w:rsid w:val="00E47888"/>
    <w:rsid w:val="00EC6478"/>
    <w:rsid w:val="00ED690C"/>
    <w:rsid w:val="00F0029E"/>
    <w:rsid w:val="00F03AFD"/>
    <w:rsid w:val="00F335CF"/>
    <w:rsid w:val="00F412C9"/>
    <w:rsid w:val="00F41C59"/>
    <w:rsid w:val="00F6280E"/>
    <w:rsid w:val="00F822AA"/>
    <w:rsid w:val="00F845B6"/>
    <w:rsid w:val="00F84CA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0CF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aliases w:val="Text"/>
    <w:qFormat/>
    <w:rsid w:val="00656E0D"/>
    <w:pPr>
      <w:spacing w:before="120" w:after="120" w:line="288" w:lineRule="auto"/>
    </w:pPr>
    <w:rPr>
      <w:rFonts w:ascii="Arial" w:hAnsi="Arial"/>
      <w:sz w:val="22"/>
    </w:rPr>
  </w:style>
  <w:style w:type="paragraph" w:styleId="Heading1">
    <w:name w:val="heading 1"/>
    <w:basedOn w:val="Normal"/>
    <w:next w:val="Normal"/>
    <w:link w:val="Heading1Char"/>
    <w:qFormat/>
    <w:rsid w:val="00304F06"/>
    <w:pPr>
      <w:keepNext/>
      <w:keepLines/>
      <w:pBdr>
        <w:bottom w:val="single" w:sz="24" w:space="4" w:color="005EB8"/>
      </w:pBdr>
      <w:spacing w:before="480" w:after="240"/>
      <w:outlineLvl w:val="0"/>
    </w:pPr>
    <w:rPr>
      <w:bCs/>
      <w:color w:val="005EB8"/>
      <w:sz w:val="40"/>
      <w:szCs w:val="28"/>
      <w:lang w:eastAsia="en-US"/>
    </w:rPr>
  </w:style>
  <w:style w:type="paragraph" w:styleId="Heading2">
    <w:name w:val="heading 2"/>
    <w:basedOn w:val="Normal"/>
    <w:next w:val="Normal"/>
    <w:link w:val="Heading2Char"/>
    <w:qFormat/>
    <w:rsid w:val="00416A00"/>
    <w:pPr>
      <w:keepNext/>
      <w:keepLines/>
      <w:outlineLvl w:val="1"/>
    </w:pPr>
    <w:rPr>
      <w:bCs/>
      <w:sz w:val="28"/>
      <w:szCs w:val="26"/>
      <w:lang w:eastAsia="en-US"/>
    </w:rPr>
  </w:style>
  <w:style w:type="paragraph" w:styleId="Heading3">
    <w:name w:val="heading 3"/>
    <w:basedOn w:val="Normal"/>
    <w:next w:val="Normal"/>
    <w:link w:val="Heading3Char"/>
    <w:qFormat/>
    <w:rsid w:val="008D248C"/>
    <w:pPr>
      <w:keepNext/>
      <w:spacing w:before="60" w:after="60"/>
      <w:outlineLvl w:val="2"/>
    </w:pPr>
    <w:rPr>
      <w:b/>
      <w:sz w:val="24"/>
    </w:rPr>
  </w:style>
  <w:style w:type="paragraph" w:styleId="Heading4">
    <w:name w:val="heading 4"/>
    <w:basedOn w:val="Normal"/>
    <w:next w:val="Normal"/>
    <w:link w:val="Heading4Char"/>
    <w:qFormat/>
    <w:rsid w:val="00143F8A"/>
    <w:pPr>
      <w:keepNext/>
      <w:keepLines/>
      <w:spacing w:before="200"/>
      <w:outlineLvl w:val="3"/>
    </w:pPr>
    <w:rPr>
      <w:rFonts w:eastAsia="MS Gothic"/>
      <w:bCs/>
      <w:i/>
      <w:iCs/>
      <w:color w:val="005EB8"/>
      <w:sz w:val="24"/>
    </w:rPr>
  </w:style>
  <w:style w:type="paragraph" w:styleId="Heading5">
    <w:name w:val="heading 5"/>
    <w:basedOn w:val="Normal"/>
    <w:next w:val="Normal"/>
    <w:link w:val="Heading5Char"/>
    <w:semiHidden/>
    <w:unhideWhenUsed/>
    <w:rsid w:val="00F335CF"/>
    <w:pPr>
      <w:keepNext/>
      <w:keepLines/>
      <w:spacing w:before="40" w:after="0"/>
      <w:outlineLvl w:val="4"/>
    </w:pPr>
    <w:rPr>
      <w:rFonts w:eastAsiaTheme="majorEastAsia"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666E4"/>
    <w:pPr>
      <w:tabs>
        <w:tab w:val="center" w:pos="4153"/>
        <w:tab w:val="right" w:pos="8306"/>
      </w:tabs>
      <w:spacing w:after="0"/>
      <w:jc w:val="right"/>
    </w:pPr>
    <w:rPr>
      <w:sz w:val="18"/>
    </w:rPr>
  </w:style>
  <w:style w:type="paragraph" w:styleId="Header">
    <w:name w:val="header"/>
    <w:basedOn w:val="Normal"/>
    <w:qFormat/>
    <w:rsid w:val="00467637"/>
    <w:pPr>
      <w:tabs>
        <w:tab w:val="center" w:pos="4153"/>
        <w:tab w:val="right" w:pos="8306"/>
      </w:tabs>
      <w:spacing w:before="0"/>
    </w:pPr>
    <w:rPr>
      <w:color w:val="005EB8"/>
      <w:sz w:val="20"/>
    </w:rPr>
  </w:style>
  <w:style w:type="character" w:customStyle="1" w:styleId="Heading1Char">
    <w:name w:val="Heading 1 Char"/>
    <w:link w:val="Heading1"/>
    <w:rsid w:val="00304F06"/>
    <w:rPr>
      <w:rFonts w:ascii="Arial" w:hAnsi="Arial"/>
      <w:bCs/>
      <w:color w:val="005EB8"/>
      <w:sz w:val="40"/>
      <w:szCs w:val="28"/>
      <w:lang w:eastAsia="en-US"/>
    </w:rPr>
  </w:style>
  <w:style w:type="character" w:customStyle="1" w:styleId="Heading2Char">
    <w:name w:val="Heading 2 Char"/>
    <w:link w:val="Heading2"/>
    <w:rsid w:val="00416A00"/>
    <w:rPr>
      <w:rFonts w:ascii="Calibri" w:hAnsi="Calibri"/>
      <w:bCs/>
      <w:sz w:val="28"/>
      <w:szCs w:val="26"/>
    </w:rPr>
  </w:style>
  <w:style w:type="character" w:customStyle="1" w:styleId="Heading3Char">
    <w:name w:val="Heading 3 Char"/>
    <w:link w:val="Heading3"/>
    <w:rsid w:val="008D248C"/>
    <w:rPr>
      <w:rFonts w:ascii="Arial" w:hAnsi="Arial"/>
      <w:b/>
    </w:rPr>
  </w:style>
  <w:style w:type="numbering" w:customStyle="1" w:styleId="StyleBulleted">
    <w:name w:val="Style Bulleted"/>
    <w:basedOn w:val="NoList"/>
    <w:rsid w:val="00C810D2"/>
    <w:pPr>
      <w:numPr>
        <w:numId w:val="1"/>
      </w:numPr>
    </w:pPr>
  </w:style>
  <w:style w:type="table" w:styleId="TableGrid">
    <w:name w:val="Table Grid"/>
    <w:basedOn w:val="TableNormal"/>
    <w:uiPriority w:val="59"/>
    <w:rsid w:val="00CF7B5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CF7B55"/>
    <w:rPr>
      <w:rFonts w:ascii="Arial" w:hAnsi="Arial"/>
    </w:rPr>
  </w:style>
  <w:style w:type="character" w:customStyle="1" w:styleId="Heading4Char">
    <w:name w:val="Heading 4 Char"/>
    <w:link w:val="Heading4"/>
    <w:rsid w:val="00143F8A"/>
    <w:rPr>
      <w:rFonts w:ascii="Arial" w:eastAsia="MS Gothic" w:hAnsi="Arial"/>
      <w:bCs/>
      <w:i/>
      <w:iCs/>
      <w:color w:val="005EB8"/>
    </w:rPr>
  </w:style>
  <w:style w:type="paragraph" w:styleId="BalloonText">
    <w:name w:val="Balloon Text"/>
    <w:basedOn w:val="Normal"/>
    <w:link w:val="BalloonTextChar"/>
    <w:rsid w:val="005F1AC4"/>
    <w:pPr>
      <w:spacing w:before="0" w:after="0"/>
    </w:pPr>
    <w:rPr>
      <w:rFonts w:cs="Lucida Grande"/>
      <w:color w:val="005EB8"/>
      <w:sz w:val="18"/>
      <w:szCs w:val="18"/>
    </w:rPr>
  </w:style>
  <w:style w:type="character" w:customStyle="1" w:styleId="BalloonTextChar">
    <w:name w:val="Balloon Text Char"/>
    <w:basedOn w:val="DefaultParagraphFont"/>
    <w:link w:val="BalloonText"/>
    <w:rsid w:val="005F1AC4"/>
    <w:rPr>
      <w:rFonts w:ascii="Arial" w:hAnsi="Arial" w:cs="Lucida Grande"/>
      <w:color w:val="005EB8"/>
      <w:sz w:val="18"/>
      <w:szCs w:val="18"/>
    </w:rPr>
  </w:style>
  <w:style w:type="paragraph" w:styleId="ListParagraph">
    <w:name w:val="List Paragraph"/>
    <w:basedOn w:val="Normal"/>
    <w:uiPriority w:val="34"/>
    <w:qFormat/>
    <w:rsid w:val="003E6A6E"/>
    <w:pPr>
      <w:numPr>
        <w:ilvl w:val="1"/>
        <w:numId w:val="4"/>
      </w:numPr>
      <w:tabs>
        <w:tab w:val="left" w:pos="1418"/>
      </w:tabs>
      <w:spacing w:before="0" w:after="0"/>
      <w:ind w:left="1418" w:hanging="851"/>
    </w:pPr>
    <w:rPr>
      <w:rFonts w:eastAsiaTheme="minorHAnsi"/>
      <w:szCs w:val="22"/>
      <w:lang w:eastAsia="en-US"/>
    </w:rPr>
  </w:style>
  <w:style w:type="paragraph" w:styleId="NoSpacing">
    <w:name w:val="No Spacing"/>
    <w:qFormat/>
    <w:rsid w:val="00B26F72"/>
    <w:rPr>
      <w:rFonts w:ascii="Calibri" w:hAnsi="Calibri"/>
      <w:sz w:val="22"/>
      <w:szCs w:val="22"/>
      <w:lang w:eastAsia="en-US"/>
    </w:rPr>
  </w:style>
  <w:style w:type="paragraph" w:styleId="ListBullet">
    <w:name w:val="List Bullet"/>
    <w:basedOn w:val="Normal"/>
    <w:rsid w:val="004720DC"/>
    <w:pPr>
      <w:numPr>
        <w:numId w:val="2"/>
      </w:numPr>
      <w:contextualSpacing/>
    </w:pPr>
  </w:style>
  <w:style w:type="paragraph" w:styleId="ListBullet2">
    <w:name w:val="List Bullet 2"/>
    <w:basedOn w:val="Normal"/>
    <w:unhideWhenUsed/>
    <w:rsid w:val="004720DC"/>
    <w:pPr>
      <w:numPr>
        <w:numId w:val="3"/>
      </w:numPr>
      <w:contextualSpacing/>
    </w:pPr>
  </w:style>
  <w:style w:type="character" w:customStyle="1" w:styleId="Heading5Char">
    <w:name w:val="Heading 5 Char"/>
    <w:basedOn w:val="DefaultParagraphFont"/>
    <w:link w:val="Heading5"/>
    <w:semiHidden/>
    <w:rsid w:val="00F335CF"/>
    <w:rPr>
      <w:rFonts w:ascii="Arial" w:eastAsiaTheme="majorEastAsia" w:hAnsi="Arial" w:cstheme="majorBidi"/>
      <w:color w:val="595959" w:themeColor="text1" w:themeTint="A6"/>
      <w:sz w:val="22"/>
    </w:rPr>
  </w:style>
  <w:style w:type="paragraph" w:styleId="TOCHeading">
    <w:name w:val="TOC Heading"/>
    <w:basedOn w:val="Heading1"/>
    <w:next w:val="Normal"/>
    <w:rsid w:val="0097527E"/>
    <w:pPr>
      <w:pBdr>
        <w:bottom w:val="none" w:sz="0" w:space="0" w:color="auto"/>
      </w:pBdr>
      <w:spacing w:before="240" w:after="0"/>
      <w:outlineLvl w:val="9"/>
    </w:pPr>
    <w:rPr>
      <w:rFonts w:eastAsiaTheme="majorEastAsia" w:cstheme="majorBidi"/>
      <w:bCs w:val="0"/>
      <w:sz w:val="32"/>
      <w:szCs w:val="32"/>
      <w:lang w:eastAsia="en-GB"/>
    </w:rPr>
  </w:style>
  <w:style w:type="paragraph" w:styleId="IntenseQuote">
    <w:name w:val="Intense Quote"/>
    <w:basedOn w:val="Normal"/>
    <w:next w:val="Normal"/>
    <w:link w:val="IntenseQuoteChar"/>
    <w:rsid w:val="00583390"/>
    <w:pPr>
      <w:pBdr>
        <w:top w:val="single" w:sz="4" w:space="10" w:color="4F81BD" w:themeColor="accent1"/>
        <w:bottom w:val="single" w:sz="4" w:space="10" w:color="4F81BD" w:themeColor="accent1"/>
      </w:pBdr>
      <w:spacing w:before="360" w:after="360"/>
      <w:ind w:left="864" w:right="864"/>
      <w:jc w:val="center"/>
    </w:pPr>
    <w:rPr>
      <w:i/>
      <w:iCs/>
      <w:color w:val="005EB8"/>
    </w:rPr>
  </w:style>
  <w:style w:type="character" w:customStyle="1" w:styleId="IntenseQuoteChar">
    <w:name w:val="Intense Quote Char"/>
    <w:basedOn w:val="DefaultParagraphFont"/>
    <w:link w:val="IntenseQuote"/>
    <w:rsid w:val="00583390"/>
    <w:rPr>
      <w:rFonts w:ascii="Arial" w:hAnsi="Arial"/>
      <w:i/>
      <w:iCs/>
      <w:color w:val="005EB8"/>
      <w:sz w:val="22"/>
    </w:rPr>
  </w:style>
  <w:style w:type="character" w:styleId="IntenseEmphasis">
    <w:name w:val="Intense Emphasis"/>
    <w:basedOn w:val="DefaultParagraphFont"/>
    <w:rsid w:val="00583390"/>
    <w:rPr>
      <w:i/>
      <w:iCs/>
      <w:color w:val="005EB8"/>
    </w:rPr>
  </w:style>
  <w:style w:type="character" w:styleId="IntenseReference">
    <w:name w:val="Intense Reference"/>
    <w:basedOn w:val="DefaultParagraphFont"/>
    <w:rsid w:val="00583390"/>
    <w:rPr>
      <w:b/>
      <w:bCs/>
      <w:smallCaps/>
      <w:color w:val="005EB8"/>
      <w:spacing w:val="5"/>
    </w:rPr>
  </w:style>
  <w:style w:type="paragraph" w:customStyle="1" w:styleId="SecAQ">
    <w:name w:val="SecAQ"/>
    <w:basedOn w:val="ListParagraph"/>
    <w:qFormat/>
    <w:rsid w:val="00F03AFD"/>
    <w:pPr>
      <w:numPr>
        <w:ilvl w:val="0"/>
        <w:numId w:val="13"/>
      </w:numPr>
      <w:spacing w:before="240" w:after="120"/>
    </w:pPr>
  </w:style>
  <w:style w:type="paragraph" w:customStyle="1" w:styleId="Answers">
    <w:name w:val="Answers"/>
    <w:basedOn w:val="Normal"/>
    <w:qFormat/>
    <w:rsid w:val="00184726"/>
    <w:pPr>
      <w:spacing w:before="60" w:after="60"/>
      <w:ind w:left="680" w:hanging="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aliases w:val="Text"/>
    <w:qFormat/>
    <w:rsid w:val="00656E0D"/>
    <w:pPr>
      <w:spacing w:before="120" w:after="120" w:line="288" w:lineRule="auto"/>
    </w:pPr>
    <w:rPr>
      <w:rFonts w:ascii="Arial" w:hAnsi="Arial"/>
      <w:sz w:val="22"/>
    </w:rPr>
  </w:style>
  <w:style w:type="paragraph" w:styleId="Heading1">
    <w:name w:val="heading 1"/>
    <w:basedOn w:val="Normal"/>
    <w:next w:val="Normal"/>
    <w:link w:val="Heading1Char"/>
    <w:qFormat/>
    <w:rsid w:val="00304F06"/>
    <w:pPr>
      <w:keepNext/>
      <w:keepLines/>
      <w:pBdr>
        <w:bottom w:val="single" w:sz="24" w:space="4" w:color="005EB8"/>
      </w:pBdr>
      <w:spacing w:before="480" w:after="240"/>
      <w:outlineLvl w:val="0"/>
    </w:pPr>
    <w:rPr>
      <w:bCs/>
      <w:color w:val="005EB8"/>
      <w:sz w:val="40"/>
      <w:szCs w:val="28"/>
      <w:lang w:eastAsia="en-US"/>
    </w:rPr>
  </w:style>
  <w:style w:type="paragraph" w:styleId="Heading2">
    <w:name w:val="heading 2"/>
    <w:basedOn w:val="Normal"/>
    <w:next w:val="Normal"/>
    <w:link w:val="Heading2Char"/>
    <w:qFormat/>
    <w:rsid w:val="00416A00"/>
    <w:pPr>
      <w:keepNext/>
      <w:keepLines/>
      <w:outlineLvl w:val="1"/>
    </w:pPr>
    <w:rPr>
      <w:bCs/>
      <w:sz w:val="28"/>
      <w:szCs w:val="26"/>
      <w:lang w:eastAsia="en-US"/>
    </w:rPr>
  </w:style>
  <w:style w:type="paragraph" w:styleId="Heading3">
    <w:name w:val="heading 3"/>
    <w:basedOn w:val="Normal"/>
    <w:next w:val="Normal"/>
    <w:link w:val="Heading3Char"/>
    <w:qFormat/>
    <w:rsid w:val="008D248C"/>
    <w:pPr>
      <w:keepNext/>
      <w:spacing w:before="60" w:after="60"/>
      <w:outlineLvl w:val="2"/>
    </w:pPr>
    <w:rPr>
      <w:b/>
      <w:sz w:val="24"/>
    </w:rPr>
  </w:style>
  <w:style w:type="paragraph" w:styleId="Heading4">
    <w:name w:val="heading 4"/>
    <w:basedOn w:val="Normal"/>
    <w:next w:val="Normal"/>
    <w:link w:val="Heading4Char"/>
    <w:qFormat/>
    <w:rsid w:val="00143F8A"/>
    <w:pPr>
      <w:keepNext/>
      <w:keepLines/>
      <w:spacing w:before="200"/>
      <w:outlineLvl w:val="3"/>
    </w:pPr>
    <w:rPr>
      <w:rFonts w:eastAsia="MS Gothic"/>
      <w:bCs/>
      <w:i/>
      <w:iCs/>
      <w:color w:val="005EB8"/>
      <w:sz w:val="24"/>
    </w:rPr>
  </w:style>
  <w:style w:type="paragraph" w:styleId="Heading5">
    <w:name w:val="heading 5"/>
    <w:basedOn w:val="Normal"/>
    <w:next w:val="Normal"/>
    <w:link w:val="Heading5Char"/>
    <w:semiHidden/>
    <w:unhideWhenUsed/>
    <w:rsid w:val="00F335CF"/>
    <w:pPr>
      <w:keepNext/>
      <w:keepLines/>
      <w:spacing w:before="40" w:after="0"/>
      <w:outlineLvl w:val="4"/>
    </w:pPr>
    <w:rPr>
      <w:rFonts w:eastAsiaTheme="majorEastAsia"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666E4"/>
    <w:pPr>
      <w:tabs>
        <w:tab w:val="center" w:pos="4153"/>
        <w:tab w:val="right" w:pos="8306"/>
      </w:tabs>
      <w:spacing w:after="0"/>
      <w:jc w:val="right"/>
    </w:pPr>
    <w:rPr>
      <w:sz w:val="18"/>
    </w:rPr>
  </w:style>
  <w:style w:type="paragraph" w:styleId="Header">
    <w:name w:val="header"/>
    <w:basedOn w:val="Normal"/>
    <w:qFormat/>
    <w:rsid w:val="00467637"/>
    <w:pPr>
      <w:tabs>
        <w:tab w:val="center" w:pos="4153"/>
        <w:tab w:val="right" w:pos="8306"/>
      </w:tabs>
      <w:spacing w:before="0"/>
    </w:pPr>
    <w:rPr>
      <w:color w:val="005EB8"/>
      <w:sz w:val="20"/>
    </w:rPr>
  </w:style>
  <w:style w:type="character" w:customStyle="1" w:styleId="Heading1Char">
    <w:name w:val="Heading 1 Char"/>
    <w:link w:val="Heading1"/>
    <w:rsid w:val="00304F06"/>
    <w:rPr>
      <w:rFonts w:ascii="Arial" w:hAnsi="Arial"/>
      <w:bCs/>
      <w:color w:val="005EB8"/>
      <w:sz w:val="40"/>
      <w:szCs w:val="28"/>
      <w:lang w:eastAsia="en-US"/>
    </w:rPr>
  </w:style>
  <w:style w:type="character" w:customStyle="1" w:styleId="Heading2Char">
    <w:name w:val="Heading 2 Char"/>
    <w:link w:val="Heading2"/>
    <w:rsid w:val="00416A00"/>
    <w:rPr>
      <w:rFonts w:ascii="Calibri" w:hAnsi="Calibri"/>
      <w:bCs/>
      <w:sz w:val="28"/>
      <w:szCs w:val="26"/>
    </w:rPr>
  </w:style>
  <w:style w:type="character" w:customStyle="1" w:styleId="Heading3Char">
    <w:name w:val="Heading 3 Char"/>
    <w:link w:val="Heading3"/>
    <w:rsid w:val="008D248C"/>
    <w:rPr>
      <w:rFonts w:ascii="Arial" w:hAnsi="Arial"/>
      <w:b/>
    </w:rPr>
  </w:style>
  <w:style w:type="numbering" w:customStyle="1" w:styleId="StyleBulleted">
    <w:name w:val="Style Bulleted"/>
    <w:basedOn w:val="NoList"/>
    <w:rsid w:val="00C810D2"/>
    <w:pPr>
      <w:numPr>
        <w:numId w:val="1"/>
      </w:numPr>
    </w:pPr>
  </w:style>
  <w:style w:type="table" w:styleId="TableGrid">
    <w:name w:val="Table Grid"/>
    <w:basedOn w:val="TableNormal"/>
    <w:uiPriority w:val="59"/>
    <w:rsid w:val="00CF7B5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CF7B55"/>
    <w:rPr>
      <w:rFonts w:ascii="Arial" w:hAnsi="Arial"/>
    </w:rPr>
  </w:style>
  <w:style w:type="character" w:customStyle="1" w:styleId="Heading4Char">
    <w:name w:val="Heading 4 Char"/>
    <w:link w:val="Heading4"/>
    <w:rsid w:val="00143F8A"/>
    <w:rPr>
      <w:rFonts w:ascii="Arial" w:eastAsia="MS Gothic" w:hAnsi="Arial"/>
      <w:bCs/>
      <w:i/>
      <w:iCs/>
      <w:color w:val="005EB8"/>
    </w:rPr>
  </w:style>
  <w:style w:type="paragraph" w:styleId="BalloonText">
    <w:name w:val="Balloon Text"/>
    <w:basedOn w:val="Normal"/>
    <w:link w:val="BalloonTextChar"/>
    <w:rsid w:val="005F1AC4"/>
    <w:pPr>
      <w:spacing w:before="0" w:after="0"/>
    </w:pPr>
    <w:rPr>
      <w:rFonts w:cs="Lucida Grande"/>
      <w:color w:val="005EB8"/>
      <w:sz w:val="18"/>
      <w:szCs w:val="18"/>
    </w:rPr>
  </w:style>
  <w:style w:type="character" w:customStyle="1" w:styleId="BalloonTextChar">
    <w:name w:val="Balloon Text Char"/>
    <w:basedOn w:val="DefaultParagraphFont"/>
    <w:link w:val="BalloonText"/>
    <w:rsid w:val="005F1AC4"/>
    <w:rPr>
      <w:rFonts w:ascii="Arial" w:hAnsi="Arial" w:cs="Lucida Grande"/>
      <w:color w:val="005EB8"/>
      <w:sz w:val="18"/>
      <w:szCs w:val="18"/>
    </w:rPr>
  </w:style>
  <w:style w:type="paragraph" w:styleId="ListParagraph">
    <w:name w:val="List Paragraph"/>
    <w:basedOn w:val="Normal"/>
    <w:uiPriority w:val="34"/>
    <w:qFormat/>
    <w:rsid w:val="003E6A6E"/>
    <w:pPr>
      <w:numPr>
        <w:ilvl w:val="1"/>
        <w:numId w:val="4"/>
      </w:numPr>
      <w:tabs>
        <w:tab w:val="left" w:pos="1418"/>
      </w:tabs>
      <w:spacing w:before="0" w:after="0"/>
      <w:ind w:left="1418" w:hanging="851"/>
    </w:pPr>
    <w:rPr>
      <w:rFonts w:eastAsiaTheme="minorHAnsi"/>
      <w:szCs w:val="22"/>
      <w:lang w:eastAsia="en-US"/>
    </w:rPr>
  </w:style>
  <w:style w:type="paragraph" w:styleId="NoSpacing">
    <w:name w:val="No Spacing"/>
    <w:qFormat/>
    <w:rsid w:val="00B26F72"/>
    <w:rPr>
      <w:rFonts w:ascii="Calibri" w:hAnsi="Calibri"/>
      <w:sz w:val="22"/>
      <w:szCs w:val="22"/>
      <w:lang w:eastAsia="en-US"/>
    </w:rPr>
  </w:style>
  <w:style w:type="paragraph" w:styleId="ListBullet">
    <w:name w:val="List Bullet"/>
    <w:basedOn w:val="Normal"/>
    <w:rsid w:val="004720DC"/>
    <w:pPr>
      <w:numPr>
        <w:numId w:val="2"/>
      </w:numPr>
      <w:contextualSpacing/>
    </w:pPr>
  </w:style>
  <w:style w:type="paragraph" w:styleId="ListBullet2">
    <w:name w:val="List Bullet 2"/>
    <w:basedOn w:val="Normal"/>
    <w:unhideWhenUsed/>
    <w:rsid w:val="004720DC"/>
    <w:pPr>
      <w:numPr>
        <w:numId w:val="3"/>
      </w:numPr>
      <w:contextualSpacing/>
    </w:pPr>
  </w:style>
  <w:style w:type="character" w:customStyle="1" w:styleId="Heading5Char">
    <w:name w:val="Heading 5 Char"/>
    <w:basedOn w:val="DefaultParagraphFont"/>
    <w:link w:val="Heading5"/>
    <w:semiHidden/>
    <w:rsid w:val="00F335CF"/>
    <w:rPr>
      <w:rFonts w:ascii="Arial" w:eastAsiaTheme="majorEastAsia" w:hAnsi="Arial" w:cstheme="majorBidi"/>
      <w:color w:val="595959" w:themeColor="text1" w:themeTint="A6"/>
      <w:sz w:val="22"/>
    </w:rPr>
  </w:style>
  <w:style w:type="paragraph" w:styleId="TOCHeading">
    <w:name w:val="TOC Heading"/>
    <w:basedOn w:val="Heading1"/>
    <w:next w:val="Normal"/>
    <w:rsid w:val="0097527E"/>
    <w:pPr>
      <w:pBdr>
        <w:bottom w:val="none" w:sz="0" w:space="0" w:color="auto"/>
      </w:pBdr>
      <w:spacing w:before="240" w:after="0"/>
      <w:outlineLvl w:val="9"/>
    </w:pPr>
    <w:rPr>
      <w:rFonts w:eastAsiaTheme="majorEastAsia" w:cstheme="majorBidi"/>
      <w:bCs w:val="0"/>
      <w:sz w:val="32"/>
      <w:szCs w:val="32"/>
      <w:lang w:eastAsia="en-GB"/>
    </w:rPr>
  </w:style>
  <w:style w:type="paragraph" w:styleId="IntenseQuote">
    <w:name w:val="Intense Quote"/>
    <w:basedOn w:val="Normal"/>
    <w:next w:val="Normal"/>
    <w:link w:val="IntenseQuoteChar"/>
    <w:rsid w:val="00583390"/>
    <w:pPr>
      <w:pBdr>
        <w:top w:val="single" w:sz="4" w:space="10" w:color="4F81BD" w:themeColor="accent1"/>
        <w:bottom w:val="single" w:sz="4" w:space="10" w:color="4F81BD" w:themeColor="accent1"/>
      </w:pBdr>
      <w:spacing w:before="360" w:after="360"/>
      <w:ind w:left="864" w:right="864"/>
      <w:jc w:val="center"/>
    </w:pPr>
    <w:rPr>
      <w:i/>
      <w:iCs/>
      <w:color w:val="005EB8"/>
    </w:rPr>
  </w:style>
  <w:style w:type="character" w:customStyle="1" w:styleId="IntenseQuoteChar">
    <w:name w:val="Intense Quote Char"/>
    <w:basedOn w:val="DefaultParagraphFont"/>
    <w:link w:val="IntenseQuote"/>
    <w:rsid w:val="00583390"/>
    <w:rPr>
      <w:rFonts w:ascii="Arial" w:hAnsi="Arial"/>
      <w:i/>
      <w:iCs/>
      <w:color w:val="005EB8"/>
      <w:sz w:val="22"/>
    </w:rPr>
  </w:style>
  <w:style w:type="character" w:styleId="IntenseEmphasis">
    <w:name w:val="Intense Emphasis"/>
    <w:basedOn w:val="DefaultParagraphFont"/>
    <w:rsid w:val="00583390"/>
    <w:rPr>
      <w:i/>
      <w:iCs/>
      <w:color w:val="005EB8"/>
    </w:rPr>
  </w:style>
  <w:style w:type="character" w:styleId="IntenseReference">
    <w:name w:val="Intense Reference"/>
    <w:basedOn w:val="DefaultParagraphFont"/>
    <w:rsid w:val="00583390"/>
    <w:rPr>
      <w:b/>
      <w:bCs/>
      <w:smallCaps/>
      <w:color w:val="005EB8"/>
      <w:spacing w:val="5"/>
    </w:rPr>
  </w:style>
  <w:style w:type="paragraph" w:customStyle="1" w:styleId="SecAQ">
    <w:name w:val="SecAQ"/>
    <w:basedOn w:val="ListParagraph"/>
    <w:qFormat/>
    <w:rsid w:val="00F03AFD"/>
    <w:pPr>
      <w:numPr>
        <w:ilvl w:val="0"/>
        <w:numId w:val="13"/>
      </w:numPr>
      <w:spacing w:before="240" w:after="120"/>
    </w:pPr>
  </w:style>
  <w:style w:type="paragraph" w:customStyle="1" w:styleId="Answers">
    <w:name w:val="Answers"/>
    <w:basedOn w:val="Normal"/>
    <w:qFormat/>
    <w:rsid w:val="00184726"/>
    <w:pPr>
      <w:spacing w:before="60" w:after="60"/>
      <w:ind w:left="680" w:hanging="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79848">
      <w:bodyDiv w:val="1"/>
      <w:marLeft w:val="0"/>
      <w:marRight w:val="0"/>
      <w:marTop w:val="0"/>
      <w:marBottom w:val="0"/>
      <w:divBdr>
        <w:top w:val="none" w:sz="0" w:space="0" w:color="auto"/>
        <w:left w:val="none" w:sz="0" w:space="0" w:color="auto"/>
        <w:bottom w:val="none" w:sz="0" w:space="0" w:color="auto"/>
        <w:right w:val="none" w:sz="0" w:space="0" w:color="auto"/>
      </w:divBdr>
    </w:div>
    <w:div w:id="173192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RM-ACN">
  <a:themeElements>
    <a:clrScheme name="RM-ACN">
      <a:dk1>
        <a:sysClr val="windowText" lastClr="000000"/>
      </a:dk1>
      <a:lt1>
        <a:sysClr val="window" lastClr="FFFFFF"/>
      </a:lt1>
      <a:dk2>
        <a:srgbClr val="00999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71C7F-94CA-40FA-87CC-40504CE5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2448</Words>
  <Characters>13960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RM Partners</vt:lpstr>
    </vt:vector>
  </TitlesOfParts>
  <Company>RM Partners Accountable Cancer Network</Company>
  <LinksUpToDate>false</LinksUpToDate>
  <CharactersWithSpaces>16376</CharactersWithSpaces>
  <SharedDoc>false</SharedDoc>
  <HyperlinkBase/>
  <HLinks>
    <vt:vector size="6" baseType="variant">
      <vt:variant>
        <vt:i4>721013</vt:i4>
      </vt:variant>
      <vt:variant>
        <vt:i4>-1</vt:i4>
      </vt:variant>
      <vt:variant>
        <vt:i4>2050</vt:i4>
      </vt:variant>
      <vt:variant>
        <vt:i4>1</vt:i4>
      </vt:variant>
      <vt:variant>
        <vt:lpwstr>LCA-Black-RGB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 Partners</dc:title>
  <dc:creator>RM Partners</dc:creator>
  <cp:lastModifiedBy>Ostrov, Ricki</cp:lastModifiedBy>
  <cp:revision>2</cp:revision>
  <cp:lastPrinted>2019-09-10T15:25:00Z</cp:lastPrinted>
  <dcterms:created xsi:type="dcterms:W3CDTF">2020-01-08T16:10:00Z</dcterms:created>
  <dcterms:modified xsi:type="dcterms:W3CDTF">2020-01-08T16:10:00Z</dcterms:modified>
</cp:coreProperties>
</file>